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宁夏地震监测站网老旧设备更新升级项目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仪器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</w:p>
    <w:tbl>
      <w:tblPr>
        <w:tblStyle w:val="12"/>
        <w:tblW w:w="99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20"/>
        <w:gridCol w:w="6040"/>
        <w:gridCol w:w="75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性能参数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（套）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最高限价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水位仪</w:t>
            </w:r>
          </w:p>
        </w:tc>
        <w:tc>
          <w:tcPr>
            <w:tcW w:w="6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需通过地震行业的专业设备入网定型测试。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★1.量程：0m～10m；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★2.分辨力：≤0.001m；最大允许误差≤±0.2%F.S；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★3.仪器漂移：≤0.003m/月；响应速度≥1m/s；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4.采样率：1次/秒或1次/分（管理系统采集数据为分钟值，秒钟值只支持FTP管理）；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5.供电电源：交流100V～240V，直流9V～18V，自动切换；具有给12V电瓶自动浮充功能，且具有电瓶保护；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6.标准以太网接口：10/100M自适应；数据存储容量1年以上，掉电数据不丢失；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7.主机工作环境：温度为0℃～＋40℃，相对湿度小于80%；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8.时间服务精度：优于1s/d，具有SNTP校时功能，掉电时间保护；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9.具有IP地址、用户名、密码等网络工作参数，台站代码、测项代码、仪器号等基本信息，采样率、采样通道、格值等采集参数设定功能；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10.传感器的外径不大于65mm，传感器的长度不大于600mm；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11.具有工作状态远程自监视等智能化功能，具有数据连续采集等数据通信功能；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12.具有GPRS/CDMA/EDGE等无线组网功能；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13.具有设备运行日志，具有自复位功能；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14.具有防电浪涌和电磁兼容技术措施。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水温仪</w:t>
            </w:r>
          </w:p>
        </w:tc>
        <w:tc>
          <w:tcPr>
            <w:tcW w:w="6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需通过地震行业的专业设备入网定型测试。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★1.最大允许误差≤±0.05℃；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★2.分辨力0.0001℃；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★3.仪器稳定性：长期优于0.01℃/年，短期漂移＜0.001℃/30天；测量范围应为0℃～100℃；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★4.采样率1次/分；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 xml:space="preserve">★5.传感器的外径小于45mm，传感器的长度小于600 mm；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6.传感器耐压大于10MPa；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 xml:space="preserve">7.电源供电电压在AC 180 V～240 V 或DC 10.8 V～13.2 V 范围内仪器应能正常工作，交直流供电自动切换时不影响仪器正常工作；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8.仪器正常工作湿度范围20%～80%；传感器工作温度范围：0℃～100℃；主机工作温度范围：-15℃～50℃。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9.标准以太网接口：10/100M自适应；数据存储容量1年以上，掉电数据不丢失；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10.时间服务精度：优于1s/d，具有SNTP校时功能，掉电时间保护；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11.具有IP地址、用户名、密码等网络工作参数，台站代码、测项代码、仪器号等基本信息，采样率、采样通道、格值等采集参数设定功能；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12.具有工作状态远程自监视等智能化功能，具有数据连续采集等数据通信功能；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13.具有GPRS/CDMA/EDGE等无线组网功能。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14.具有设备运行日志，具有自复位功能；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15.具有防电浪涌和电磁兼容技术措施。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大地电场仪</w:t>
            </w:r>
          </w:p>
        </w:tc>
        <w:tc>
          <w:tcPr>
            <w:tcW w:w="6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需通过地震行业的专业设备入网定型测试。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★1.测量通道6 个；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★2.电压分辨力0.01mV；电压测量范围-1000～+1000mV；频率范围不小于DC～0.005Hz；输入电阻不小于10MΩ；道间串扰抑制不小于80dB；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★3.电压测量最大误差不超过±（0.1%读数+0.02%满度）；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4.幅值分辨率10uV，频率范围DC-01Hz；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5.采样率:1次/分，具有1Hz原始采样数据，工频共模抑制比不小于140dB；工频串模抑制比不小于80dB；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6.工作电压AC：200V～240V，DC：9V～13.8V交直流自动切换；具有给12V电瓶自动浮充功能，且具有电瓶保护；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7.工作环境温度：0℃～40℃；相对湿度:≤80%；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8.该仪器具备远程控制能力，测量数据通过RJ45接口传输至数据采集系统。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气象三要素观测仪</w:t>
            </w:r>
          </w:p>
        </w:tc>
        <w:tc>
          <w:tcPr>
            <w:tcW w:w="6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需通过地震行业的专业设备入网定型测试。</w:t>
            </w:r>
            <w:bookmarkStart w:id="0" w:name="_GoBack"/>
            <w:bookmarkEnd w:id="0"/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1、主机参数：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（1）气温传感器：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★量程：-30℃～70℃；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★分辨力：0.01℃；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最大误差：≤0.2%FS；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长期稳定性：≤0.1%FS/年。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（2）气压传感器：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★量程：0～110kPa;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★分辨力：0.01kPa；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最大误差：≤0.2%FS；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长期稳定性：≤0.1%FS/年。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（3）雨量传感器：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承水口径：Ø200mm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★测量精度：0.1mm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测量降水强度：≤4mm/min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最大误差：±0.4mm/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2、运行环境：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（1）供电电源：交流100V～240V，直流9V～18V，自动切换；具有给12V电瓶自动浮充功能，且具有电瓶保护；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（2）主机工作环境：温度为0℃～＋40℃，相对湿度小于80%。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3、其他功能：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（1）具有GPRS/CDMA/EDGE等无线组网功能；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（2）具有IP地址、用户名、密码等网络工作参数，台站代码、测项代码、仪器号等基本信息，采样率、采样通道、格值等采集参数设定功能；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44"/>
                <w:sz w:val="21"/>
                <w:szCs w:val="21"/>
              </w:rPr>
              <w:t>（3）具有工作状态远程自监视等功能，具有数据连续采集等数据通信功能。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40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27.5</w:t>
            </w:r>
          </w:p>
        </w:tc>
      </w:tr>
    </w:tbl>
    <w:p>
      <w:pPr>
        <w:pStyle w:val="2"/>
      </w:pPr>
    </w:p>
    <w:sectPr>
      <w:pgSz w:w="11906" w:h="16838"/>
      <w:pgMar w:top="1213" w:right="1463" w:bottom="1213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586E4C3-95B4-403D-828A-C91120B69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4C346EE"/>
    <w:rsid w:val="00013164"/>
    <w:rsid w:val="00151A7D"/>
    <w:rsid w:val="001B1E6C"/>
    <w:rsid w:val="00203998"/>
    <w:rsid w:val="00285A28"/>
    <w:rsid w:val="00354E3E"/>
    <w:rsid w:val="003B4C34"/>
    <w:rsid w:val="003E658C"/>
    <w:rsid w:val="004634B5"/>
    <w:rsid w:val="00491823"/>
    <w:rsid w:val="004C3B0C"/>
    <w:rsid w:val="00503054"/>
    <w:rsid w:val="005E130E"/>
    <w:rsid w:val="006049B2"/>
    <w:rsid w:val="007C1F51"/>
    <w:rsid w:val="008241EE"/>
    <w:rsid w:val="008C5F94"/>
    <w:rsid w:val="009F71CB"/>
    <w:rsid w:val="00AC4A02"/>
    <w:rsid w:val="00B33B12"/>
    <w:rsid w:val="00B67DB3"/>
    <w:rsid w:val="00BA18F0"/>
    <w:rsid w:val="00BD43E3"/>
    <w:rsid w:val="00C204FB"/>
    <w:rsid w:val="00C248F8"/>
    <w:rsid w:val="00D30036"/>
    <w:rsid w:val="00DF212D"/>
    <w:rsid w:val="00DF4C37"/>
    <w:rsid w:val="00E13813"/>
    <w:rsid w:val="00F02457"/>
    <w:rsid w:val="00F1540D"/>
    <w:rsid w:val="00F4651C"/>
    <w:rsid w:val="00F77E76"/>
    <w:rsid w:val="01D50B27"/>
    <w:rsid w:val="020856DE"/>
    <w:rsid w:val="023F2664"/>
    <w:rsid w:val="026A5AB9"/>
    <w:rsid w:val="04597A30"/>
    <w:rsid w:val="04794A9A"/>
    <w:rsid w:val="04B07C10"/>
    <w:rsid w:val="04BA2DFB"/>
    <w:rsid w:val="066B693B"/>
    <w:rsid w:val="06B20EB9"/>
    <w:rsid w:val="06D20BAA"/>
    <w:rsid w:val="06DC796A"/>
    <w:rsid w:val="06E80E34"/>
    <w:rsid w:val="06F20D68"/>
    <w:rsid w:val="07102BAC"/>
    <w:rsid w:val="07F059D8"/>
    <w:rsid w:val="084A62A2"/>
    <w:rsid w:val="08656D7E"/>
    <w:rsid w:val="08805962"/>
    <w:rsid w:val="08B16AF1"/>
    <w:rsid w:val="08E01B39"/>
    <w:rsid w:val="095922A4"/>
    <w:rsid w:val="09D868D9"/>
    <w:rsid w:val="09F35F60"/>
    <w:rsid w:val="0A8639D6"/>
    <w:rsid w:val="0ACD7168"/>
    <w:rsid w:val="0B2B4EB0"/>
    <w:rsid w:val="0BAE5F4C"/>
    <w:rsid w:val="0BCA6802"/>
    <w:rsid w:val="0BE33922"/>
    <w:rsid w:val="0BE42385"/>
    <w:rsid w:val="0C1106C5"/>
    <w:rsid w:val="0CF5051A"/>
    <w:rsid w:val="0D1F2D26"/>
    <w:rsid w:val="0DC72495"/>
    <w:rsid w:val="0EC81615"/>
    <w:rsid w:val="0F1C3257"/>
    <w:rsid w:val="0FC17266"/>
    <w:rsid w:val="1019527C"/>
    <w:rsid w:val="103B711E"/>
    <w:rsid w:val="1135058C"/>
    <w:rsid w:val="11495151"/>
    <w:rsid w:val="116615F3"/>
    <w:rsid w:val="11796C65"/>
    <w:rsid w:val="11DD30B6"/>
    <w:rsid w:val="11F575C3"/>
    <w:rsid w:val="12366290"/>
    <w:rsid w:val="12ED0510"/>
    <w:rsid w:val="131B38AD"/>
    <w:rsid w:val="132156DC"/>
    <w:rsid w:val="13F17CA0"/>
    <w:rsid w:val="144713A4"/>
    <w:rsid w:val="146B3F7A"/>
    <w:rsid w:val="146C6A57"/>
    <w:rsid w:val="147738F9"/>
    <w:rsid w:val="14CA74A3"/>
    <w:rsid w:val="153000B4"/>
    <w:rsid w:val="15E12E52"/>
    <w:rsid w:val="15E53D73"/>
    <w:rsid w:val="1624543C"/>
    <w:rsid w:val="16336891"/>
    <w:rsid w:val="16B213A1"/>
    <w:rsid w:val="16BD791A"/>
    <w:rsid w:val="16FE3223"/>
    <w:rsid w:val="17122316"/>
    <w:rsid w:val="17A94518"/>
    <w:rsid w:val="17C167A7"/>
    <w:rsid w:val="17CD0285"/>
    <w:rsid w:val="18251487"/>
    <w:rsid w:val="193D53EE"/>
    <w:rsid w:val="19B3390B"/>
    <w:rsid w:val="1A4A33B6"/>
    <w:rsid w:val="1B763DFA"/>
    <w:rsid w:val="1C1E59CF"/>
    <w:rsid w:val="1C49716D"/>
    <w:rsid w:val="1CA92772"/>
    <w:rsid w:val="1D080398"/>
    <w:rsid w:val="1D430049"/>
    <w:rsid w:val="1DB77C73"/>
    <w:rsid w:val="1DF0020F"/>
    <w:rsid w:val="1E0C0A1B"/>
    <w:rsid w:val="1E7B248C"/>
    <w:rsid w:val="1E8A1E34"/>
    <w:rsid w:val="1F1D1D7E"/>
    <w:rsid w:val="1F3F4B2A"/>
    <w:rsid w:val="1F5F72D4"/>
    <w:rsid w:val="1FB74BDA"/>
    <w:rsid w:val="1FBA6C0A"/>
    <w:rsid w:val="202E0CE6"/>
    <w:rsid w:val="204B1825"/>
    <w:rsid w:val="206C1003"/>
    <w:rsid w:val="20BA69B5"/>
    <w:rsid w:val="20F57A4A"/>
    <w:rsid w:val="21101477"/>
    <w:rsid w:val="21A90096"/>
    <w:rsid w:val="21A95CBA"/>
    <w:rsid w:val="225E06CA"/>
    <w:rsid w:val="225F618E"/>
    <w:rsid w:val="22AC1BEC"/>
    <w:rsid w:val="235C4A6C"/>
    <w:rsid w:val="239D4B92"/>
    <w:rsid w:val="23CF38ED"/>
    <w:rsid w:val="242A7695"/>
    <w:rsid w:val="24C346EE"/>
    <w:rsid w:val="252A00DB"/>
    <w:rsid w:val="254972C9"/>
    <w:rsid w:val="265710C8"/>
    <w:rsid w:val="267275FD"/>
    <w:rsid w:val="26C014E5"/>
    <w:rsid w:val="26DC4AC6"/>
    <w:rsid w:val="279016B8"/>
    <w:rsid w:val="28372AA8"/>
    <w:rsid w:val="2842528D"/>
    <w:rsid w:val="28836DFC"/>
    <w:rsid w:val="289F4691"/>
    <w:rsid w:val="28BF09E2"/>
    <w:rsid w:val="294A15B9"/>
    <w:rsid w:val="29747EE9"/>
    <w:rsid w:val="29AD6190"/>
    <w:rsid w:val="29E86054"/>
    <w:rsid w:val="2A573FBA"/>
    <w:rsid w:val="2ADB40A9"/>
    <w:rsid w:val="2B1A4502"/>
    <w:rsid w:val="2B3D097D"/>
    <w:rsid w:val="2B7C0E68"/>
    <w:rsid w:val="2BFB74FC"/>
    <w:rsid w:val="2C0076F5"/>
    <w:rsid w:val="2C02174B"/>
    <w:rsid w:val="2CCB658E"/>
    <w:rsid w:val="2D5729A0"/>
    <w:rsid w:val="2D651BBF"/>
    <w:rsid w:val="2DAC2CE0"/>
    <w:rsid w:val="2E0F7174"/>
    <w:rsid w:val="2E2A3DE9"/>
    <w:rsid w:val="2E2A79B6"/>
    <w:rsid w:val="2E39219F"/>
    <w:rsid w:val="2E511C4A"/>
    <w:rsid w:val="2E7D664F"/>
    <w:rsid w:val="2EDF7366"/>
    <w:rsid w:val="2F032253"/>
    <w:rsid w:val="2F10402D"/>
    <w:rsid w:val="2FAD6993"/>
    <w:rsid w:val="2FC3164B"/>
    <w:rsid w:val="2FDD56AC"/>
    <w:rsid w:val="30635E9E"/>
    <w:rsid w:val="30830B43"/>
    <w:rsid w:val="30AE6F21"/>
    <w:rsid w:val="312468F3"/>
    <w:rsid w:val="327235E9"/>
    <w:rsid w:val="332C2888"/>
    <w:rsid w:val="33511EEC"/>
    <w:rsid w:val="335E14EA"/>
    <w:rsid w:val="33CC058C"/>
    <w:rsid w:val="33D758EB"/>
    <w:rsid w:val="342D0D89"/>
    <w:rsid w:val="34385292"/>
    <w:rsid w:val="35B43F72"/>
    <w:rsid w:val="35C50B58"/>
    <w:rsid w:val="367A0A3F"/>
    <w:rsid w:val="36FA3B45"/>
    <w:rsid w:val="37406F85"/>
    <w:rsid w:val="37D6277E"/>
    <w:rsid w:val="37DC21CB"/>
    <w:rsid w:val="380B3E8E"/>
    <w:rsid w:val="38346470"/>
    <w:rsid w:val="399E0C34"/>
    <w:rsid w:val="399E3B7E"/>
    <w:rsid w:val="39B30CE4"/>
    <w:rsid w:val="3A1E4C5C"/>
    <w:rsid w:val="3B0431C5"/>
    <w:rsid w:val="3B39667D"/>
    <w:rsid w:val="3B5D4681"/>
    <w:rsid w:val="3BBC076C"/>
    <w:rsid w:val="3BBE171A"/>
    <w:rsid w:val="3C8C1A0C"/>
    <w:rsid w:val="3CB74ABF"/>
    <w:rsid w:val="3CF45FB2"/>
    <w:rsid w:val="3CFB7F30"/>
    <w:rsid w:val="3D110BA2"/>
    <w:rsid w:val="3D1D14E4"/>
    <w:rsid w:val="3D404189"/>
    <w:rsid w:val="3E2B4593"/>
    <w:rsid w:val="3EDC4E8C"/>
    <w:rsid w:val="3F2E6D17"/>
    <w:rsid w:val="3F552F23"/>
    <w:rsid w:val="3F555407"/>
    <w:rsid w:val="40B77D7B"/>
    <w:rsid w:val="4140432B"/>
    <w:rsid w:val="41830A83"/>
    <w:rsid w:val="41DC27A1"/>
    <w:rsid w:val="41EB485F"/>
    <w:rsid w:val="422B3763"/>
    <w:rsid w:val="434E488A"/>
    <w:rsid w:val="43955BA7"/>
    <w:rsid w:val="445F4588"/>
    <w:rsid w:val="44B63F8F"/>
    <w:rsid w:val="45706150"/>
    <w:rsid w:val="45CB1522"/>
    <w:rsid w:val="46092573"/>
    <w:rsid w:val="46440B80"/>
    <w:rsid w:val="469B30C5"/>
    <w:rsid w:val="47690EAD"/>
    <w:rsid w:val="479F3DD4"/>
    <w:rsid w:val="47D72508"/>
    <w:rsid w:val="47E606B9"/>
    <w:rsid w:val="47F52D8C"/>
    <w:rsid w:val="47FF0804"/>
    <w:rsid w:val="480E045B"/>
    <w:rsid w:val="487C0AE7"/>
    <w:rsid w:val="48FC6C28"/>
    <w:rsid w:val="493C55A6"/>
    <w:rsid w:val="499D5BBF"/>
    <w:rsid w:val="4A0D3193"/>
    <w:rsid w:val="4A541AF4"/>
    <w:rsid w:val="4A663FD1"/>
    <w:rsid w:val="4B235D86"/>
    <w:rsid w:val="4BED5983"/>
    <w:rsid w:val="4C4B2F38"/>
    <w:rsid w:val="4D466A23"/>
    <w:rsid w:val="4D944C8F"/>
    <w:rsid w:val="4DC07055"/>
    <w:rsid w:val="4DCF0DD6"/>
    <w:rsid w:val="4E220AB7"/>
    <w:rsid w:val="4E3311AA"/>
    <w:rsid w:val="4EFB1481"/>
    <w:rsid w:val="4F152CBE"/>
    <w:rsid w:val="4FC36350"/>
    <w:rsid w:val="4FD925EE"/>
    <w:rsid w:val="50354C45"/>
    <w:rsid w:val="50AB3A73"/>
    <w:rsid w:val="50EE337A"/>
    <w:rsid w:val="517129ED"/>
    <w:rsid w:val="519D7A94"/>
    <w:rsid w:val="51C51D80"/>
    <w:rsid w:val="52B90215"/>
    <w:rsid w:val="52D76313"/>
    <w:rsid w:val="533829EB"/>
    <w:rsid w:val="545560B2"/>
    <w:rsid w:val="54A72BBE"/>
    <w:rsid w:val="54C86BF3"/>
    <w:rsid w:val="54F3556E"/>
    <w:rsid w:val="54F45CBE"/>
    <w:rsid w:val="55C7079C"/>
    <w:rsid w:val="574D5C53"/>
    <w:rsid w:val="57771384"/>
    <w:rsid w:val="57EF66F5"/>
    <w:rsid w:val="57F207A4"/>
    <w:rsid w:val="58270944"/>
    <w:rsid w:val="58D60998"/>
    <w:rsid w:val="58DF0C8D"/>
    <w:rsid w:val="59666896"/>
    <w:rsid w:val="59F32F4F"/>
    <w:rsid w:val="5A464058"/>
    <w:rsid w:val="5ADB5D63"/>
    <w:rsid w:val="5B905989"/>
    <w:rsid w:val="5BF53367"/>
    <w:rsid w:val="5CD9530D"/>
    <w:rsid w:val="5D497FAA"/>
    <w:rsid w:val="5D543FDC"/>
    <w:rsid w:val="5D8670F5"/>
    <w:rsid w:val="5DC0346B"/>
    <w:rsid w:val="5DF358D4"/>
    <w:rsid w:val="5E526746"/>
    <w:rsid w:val="5E8A6EA5"/>
    <w:rsid w:val="5EB82D2B"/>
    <w:rsid w:val="60654156"/>
    <w:rsid w:val="60801B66"/>
    <w:rsid w:val="61133825"/>
    <w:rsid w:val="612920BB"/>
    <w:rsid w:val="612D6079"/>
    <w:rsid w:val="61866FE2"/>
    <w:rsid w:val="61B73BB3"/>
    <w:rsid w:val="61C47583"/>
    <w:rsid w:val="61F71770"/>
    <w:rsid w:val="623D2CA1"/>
    <w:rsid w:val="626025C0"/>
    <w:rsid w:val="6266437D"/>
    <w:rsid w:val="6299419B"/>
    <w:rsid w:val="631E01D0"/>
    <w:rsid w:val="631E4C0D"/>
    <w:rsid w:val="639037F0"/>
    <w:rsid w:val="63B90D8F"/>
    <w:rsid w:val="63CF3D7F"/>
    <w:rsid w:val="64072031"/>
    <w:rsid w:val="64166BD9"/>
    <w:rsid w:val="64AC5DA8"/>
    <w:rsid w:val="64B26E16"/>
    <w:rsid w:val="64D4484D"/>
    <w:rsid w:val="655A5580"/>
    <w:rsid w:val="65C33BFD"/>
    <w:rsid w:val="668F421B"/>
    <w:rsid w:val="675215C6"/>
    <w:rsid w:val="67796168"/>
    <w:rsid w:val="683E410E"/>
    <w:rsid w:val="68412DB3"/>
    <w:rsid w:val="684627F3"/>
    <w:rsid w:val="68486E8C"/>
    <w:rsid w:val="68755112"/>
    <w:rsid w:val="692407D8"/>
    <w:rsid w:val="69533274"/>
    <w:rsid w:val="6970129A"/>
    <w:rsid w:val="6A553EE1"/>
    <w:rsid w:val="6AE8361E"/>
    <w:rsid w:val="6B2C0E42"/>
    <w:rsid w:val="6B814ED4"/>
    <w:rsid w:val="6B947C8A"/>
    <w:rsid w:val="6C096567"/>
    <w:rsid w:val="6C710812"/>
    <w:rsid w:val="6C791903"/>
    <w:rsid w:val="6CD00430"/>
    <w:rsid w:val="6CEC45AE"/>
    <w:rsid w:val="6CF26248"/>
    <w:rsid w:val="6D4C2F88"/>
    <w:rsid w:val="6D595482"/>
    <w:rsid w:val="6DB72211"/>
    <w:rsid w:val="6E401D51"/>
    <w:rsid w:val="6E9E3684"/>
    <w:rsid w:val="6F243A4F"/>
    <w:rsid w:val="6FAF127D"/>
    <w:rsid w:val="6FE81FDB"/>
    <w:rsid w:val="706566BA"/>
    <w:rsid w:val="707C6FED"/>
    <w:rsid w:val="70C43F60"/>
    <w:rsid w:val="70FE4D72"/>
    <w:rsid w:val="71595D60"/>
    <w:rsid w:val="71860FB9"/>
    <w:rsid w:val="71E61025"/>
    <w:rsid w:val="72621715"/>
    <w:rsid w:val="7277514E"/>
    <w:rsid w:val="72965238"/>
    <w:rsid w:val="72C9422D"/>
    <w:rsid w:val="73691BC5"/>
    <w:rsid w:val="73DF6F66"/>
    <w:rsid w:val="73E11F01"/>
    <w:rsid w:val="73EC02C7"/>
    <w:rsid w:val="74285169"/>
    <w:rsid w:val="74A02591"/>
    <w:rsid w:val="74DA6A6E"/>
    <w:rsid w:val="75043BB6"/>
    <w:rsid w:val="75272E14"/>
    <w:rsid w:val="753D6A97"/>
    <w:rsid w:val="755C08A9"/>
    <w:rsid w:val="75937C82"/>
    <w:rsid w:val="75CE599C"/>
    <w:rsid w:val="75E25016"/>
    <w:rsid w:val="76001A0C"/>
    <w:rsid w:val="762329CF"/>
    <w:rsid w:val="767979E0"/>
    <w:rsid w:val="76F0271E"/>
    <w:rsid w:val="770A119A"/>
    <w:rsid w:val="772067E2"/>
    <w:rsid w:val="773F69DE"/>
    <w:rsid w:val="775F37AE"/>
    <w:rsid w:val="7791429F"/>
    <w:rsid w:val="779B5E64"/>
    <w:rsid w:val="77A134B1"/>
    <w:rsid w:val="77CF44D0"/>
    <w:rsid w:val="785071BF"/>
    <w:rsid w:val="78BC72E5"/>
    <w:rsid w:val="78BD46C6"/>
    <w:rsid w:val="796F6B32"/>
    <w:rsid w:val="7A085FA9"/>
    <w:rsid w:val="7A14290E"/>
    <w:rsid w:val="7A6148C2"/>
    <w:rsid w:val="7A6F49FD"/>
    <w:rsid w:val="7AEA284D"/>
    <w:rsid w:val="7AF4245F"/>
    <w:rsid w:val="7B11383D"/>
    <w:rsid w:val="7B1A53C7"/>
    <w:rsid w:val="7B531367"/>
    <w:rsid w:val="7BF62E76"/>
    <w:rsid w:val="7BFD4E07"/>
    <w:rsid w:val="7C196EEA"/>
    <w:rsid w:val="7C59389D"/>
    <w:rsid w:val="7C6A22D0"/>
    <w:rsid w:val="7C741024"/>
    <w:rsid w:val="7CD14DB4"/>
    <w:rsid w:val="7CD4605C"/>
    <w:rsid w:val="7D076CFF"/>
    <w:rsid w:val="7D4C7F7D"/>
    <w:rsid w:val="7D57361A"/>
    <w:rsid w:val="7D907DB7"/>
    <w:rsid w:val="7DB85F11"/>
    <w:rsid w:val="7E902734"/>
    <w:rsid w:val="7ECB41DA"/>
    <w:rsid w:val="7F591CCF"/>
    <w:rsid w:val="7FA37034"/>
    <w:rsid w:val="7FCA5687"/>
    <w:rsid w:val="7FC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="仿宋_GB2312"/>
      <w:sz w:val="30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99"/>
    <w:pPr>
      <w:spacing w:after="120"/>
      <w:ind w:firstLine="420" w:firstLineChars="200"/>
    </w:pPr>
    <w:rPr>
      <w:rFonts w:ascii="Times New Roman" w:hAns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II"/>
    <w:basedOn w:val="1"/>
    <w:unhideWhenUsed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lang w:bidi="mn-Mong-CN"/>
    </w:rPr>
  </w:style>
  <w:style w:type="character" w:customStyle="1" w:styleId="17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1450</Words>
  <Characters>1815</Characters>
  <Lines>21</Lines>
  <Paragraphs>5</Paragraphs>
  <TotalTime>0</TotalTime>
  <ScaleCrop>false</ScaleCrop>
  <LinksUpToDate>false</LinksUpToDate>
  <CharactersWithSpaces>1828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2019-07-28T03:10:00Z</dcterms:created>
  <dc:creator>Administrator</dc:creator>
  <cp:lastModifiedBy>77</cp:lastModifiedBy>
  <cp:lastPrinted>2021-01-04T02:14:00Z</cp:lastPrinted>
  <dcterms:modified xsi:type="dcterms:W3CDTF">2023-06-06T01:37:49Z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729737F140DA47C4AB3BD6B2164D70B7</vt:lpwstr>
  </property>
</Properties>
</file>