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02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国家预警工程项目运维备机备件采购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性能参数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80"/>
        <w:gridCol w:w="5412"/>
        <w:gridCol w:w="768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/>
              <w:spacing w:line="276" w:lineRule="auto"/>
            </w:pPr>
            <w: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76" w:lineRule="auto"/>
            </w:pPr>
            <w:r>
              <w:t>设备名称</w:t>
            </w:r>
          </w:p>
        </w:tc>
        <w:tc>
          <w:tcPr>
            <w:tcW w:w="5412" w:type="dxa"/>
            <w:vAlign w:val="center"/>
          </w:tcPr>
          <w:p>
            <w:pPr>
              <w:widowControl/>
              <w:spacing w:line="276" w:lineRule="auto"/>
            </w:pPr>
            <w:r>
              <w:t>性能参数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pacing w:line="276" w:lineRule="auto"/>
            </w:pPr>
            <w:r>
              <w:t>数量（套）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76" w:lineRule="auto"/>
            </w:pPr>
            <w:r>
              <w:t>金额（万）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地震计三通道数采</w:t>
            </w:r>
          </w:p>
        </w:tc>
        <w:tc>
          <w:tcPr>
            <w:tcW w:w="5412" w:type="dxa"/>
            <w:vAlign w:val="center"/>
          </w:tcPr>
          <w:p>
            <w:r>
              <w:rPr>
                <w:rFonts w:hint="eastAsia"/>
              </w:rPr>
              <w:t>采集与传感器控制部分</w:t>
            </w:r>
          </w:p>
          <w:p>
            <w:r>
              <w:rPr>
                <w:rFonts w:hint="eastAsia"/>
              </w:rPr>
              <w:t>▲数据采集器道数：3通道</w:t>
            </w:r>
          </w:p>
          <w:p>
            <w:r>
              <w:rPr>
                <w:rFonts w:hint="eastAsia"/>
              </w:rPr>
              <w:t>▲与传感器接口：符合或兼容DB/T 13-2000有关规定</w:t>
            </w:r>
          </w:p>
          <w:p>
            <w:r>
              <w:rPr>
                <w:rFonts w:hint="eastAsia"/>
              </w:rPr>
              <w:t>信号输入方式：双端平衡差分输入，输入阻抗：≥100KΩ</w:t>
            </w:r>
          </w:p>
          <w:p>
            <w:r>
              <w:rPr>
                <w:rFonts w:hint="eastAsia"/>
              </w:rPr>
              <w:t>▲输入信号满度值：±5 V、±10 V、±20 V可程控选择（差分信号输入），A/D转换：≥24-bit</w:t>
            </w:r>
          </w:p>
          <w:p>
            <w:r>
              <w:rPr>
                <w:rFonts w:hint="eastAsia"/>
              </w:rPr>
              <w:t>1.动态范围：大于135 dB @ 50 sps/ch</w:t>
            </w:r>
          </w:p>
          <w:p>
            <w:r>
              <w:rPr>
                <w:rFonts w:hint="eastAsia"/>
              </w:rPr>
              <w:t>2.系统噪声：小于1 LSB（有效值）</w:t>
            </w:r>
          </w:p>
          <w:p>
            <w:r>
              <w:rPr>
                <w:rFonts w:hint="eastAsia"/>
              </w:rPr>
              <w:t>非线性失真度:小于-110 dB @ 50 sps/ch</w:t>
            </w:r>
          </w:p>
          <w:p>
            <w:r>
              <w:rPr>
                <w:rFonts w:hint="eastAsia"/>
              </w:rPr>
              <w:t>路际串扰:小于-110 dB</w:t>
            </w:r>
          </w:p>
          <w:p>
            <w:r>
              <w:rPr>
                <w:rFonts w:hint="eastAsia"/>
              </w:rPr>
              <w:t>3.数字滤波:FIR数字滤波器，可选线性相移和最小相移通带波动:小于0.1 dB通带外衰减:大于135 dB</w:t>
            </w:r>
          </w:p>
          <w:p>
            <w:r>
              <w:rPr>
                <w:rFonts w:hint="eastAsia"/>
              </w:rPr>
              <w:t>4.输出采样率:分组可设1、10、20、50、100、200、500sps/ch</w:t>
            </w:r>
          </w:p>
          <w:p>
            <w:r>
              <w:rPr>
                <w:rFonts w:hint="eastAsia"/>
              </w:rPr>
              <w:t>5.频带范围:0～0.4、4、8、20、40、50、80 Hz</w:t>
            </w:r>
          </w:p>
          <w:p>
            <w:r>
              <w:rPr>
                <w:rFonts w:hint="eastAsia"/>
              </w:rPr>
              <w:t>标定信号发生器：不低于16-bit以上DAC，输出±5 mA</w:t>
            </w:r>
          </w:p>
          <w:p>
            <w:r>
              <w:rPr>
                <w:rFonts w:hint="eastAsia"/>
              </w:rPr>
              <w:t>标定信号类型：可选阶跃、正弦波，或二进制编码信号</w:t>
            </w:r>
          </w:p>
          <w:p>
            <w:r>
              <w:rPr>
                <w:rFonts w:hint="eastAsia"/>
              </w:rPr>
              <w:t>标定输出：信号频率、幅度、周期数可设置</w:t>
            </w:r>
          </w:p>
          <w:p>
            <w:r>
              <w:rPr>
                <w:rFonts w:hint="eastAsia"/>
              </w:rPr>
              <w:t>标定启动方式：指令方式、定时方式</w:t>
            </w:r>
          </w:p>
          <w:p>
            <w:r>
              <w:rPr>
                <w:rFonts w:hint="eastAsia"/>
              </w:rPr>
              <w:t>6.校时方式：支持GPS与北斗授时系统，自带GPS接收机</w:t>
            </w:r>
          </w:p>
          <w:p>
            <w:r>
              <w:rPr>
                <w:rFonts w:hint="eastAsia"/>
              </w:rPr>
              <w:t>7.支持IRIG码与NTP网络联合授时，授时精度优于0.1 ms</w:t>
            </w:r>
          </w:p>
          <w:p>
            <w:r>
              <w:rPr>
                <w:rFonts w:hint="eastAsia"/>
              </w:rPr>
              <w:t>8.授时精度优于1ms/天，可以针对不同的传感器通道，选用连续（continuous）方式、触发（triggered）方式，分别或者同时记录地震波形数据。可以针对同一个传感器，选择不同的采样率，观测和记录不同频带的地震波形信号。远程控制调整传感器零点采集控制软件的远程更新升级。</w:t>
            </w:r>
          </w:p>
          <w:p>
            <w:r>
              <w:rPr>
                <w:rFonts w:hint="eastAsia"/>
              </w:rPr>
              <w:t>环境与状态监控部分：采集器要具备环境与状态监控能力数据记录与通信控制部分；</w:t>
            </w:r>
          </w:p>
          <w:p>
            <w:r>
              <w:rPr>
                <w:rFonts w:hint="eastAsia"/>
              </w:rPr>
              <w:t>9.记录功能：具有掉电保护的数据备份功能、内部连续/触发记录波形、365天以上连续数据存储；</w:t>
            </w:r>
          </w:p>
          <w:p>
            <w:r>
              <w:rPr>
                <w:rFonts w:hint="eastAsia"/>
              </w:rPr>
              <w:t>10.记录格式:可选压缩模式，提供回放后转换为标准SEED格式的转换软件；</w:t>
            </w:r>
          </w:p>
          <w:p>
            <w:r>
              <w:rPr>
                <w:rFonts w:hint="eastAsia"/>
              </w:rPr>
              <w:t>记录介质:可插拔不易丢失数据的固态存储器；</w:t>
            </w:r>
          </w:p>
          <w:p>
            <w:r>
              <w:rPr>
                <w:rFonts w:hint="eastAsia"/>
              </w:rPr>
              <w:t>通信接口: 标准LAN以太网接口和标准RS-232C串行口；</w:t>
            </w:r>
          </w:p>
          <w:p>
            <w:r>
              <w:rPr>
                <w:rFonts w:hint="eastAsia"/>
              </w:rPr>
              <w:t>11.通信协议:支持TCP/IP协议、多址发送/读取、断点重传</w:t>
            </w:r>
          </w:p>
          <w:p>
            <w:r>
              <w:rPr>
                <w:rFonts w:hint="eastAsia"/>
              </w:rPr>
              <w:t>12.实时波形数据包输出间隔，小于0.5秒，最低20ms具有Web、ftp等网络服务功能，具有本地/远程组网通信控制的功能；</w:t>
            </w:r>
          </w:p>
          <w:p>
            <w:r>
              <w:rPr>
                <w:rFonts w:hint="eastAsia"/>
              </w:rPr>
              <w:t>传输内容:实时波形、健康状态、参数/信息、本机记录数据；</w:t>
            </w:r>
          </w:p>
          <w:p>
            <w:r>
              <w:rPr>
                <w:rFonts w:hint="eastAsia"/>
              </w:rPr>
              <w:t>管理软件:参数设置、自检功能，实时图形显示、存盘，完备的监控命令和诊断命令。</w:t>
            </w:r>
          </w:p>
          <w:p>
            <w:r>
              <w:rPr>
                <w:rFonts w:hint="eastAsia"/>
              </w:rPr>
              <w:t>数据及网络安全：须根据不同等级权限对访问者设防，并形成访问日志记录。设备应拒绝无权限的任何数据下载和监控命令，并及时报警。</w:t>
            </w:r>
          </w:p>
          <w:p>
            <w:r>
              <w:rPr>
                <w:rFonts w:hint="eastAsia"/>
              </w:rPr>
              <w:t>提供产品指标出厂实测结果和内部滤波器参数，提供通信控制协议指令说明和数据格式说明，提供通信控制和数据解码示例程序源代码及代码说明；</w:t>
            </w:r>
          </w:p>
          <w:p>
            <w:r>
              <w:rPr>
                <w:rFonts w:hint="eastAsia"/>
              </w:rPr>
              <w:t>13.通过地震行业的专业设备入网定型测试，提供国家地震预警工程设备合同案例。</w:t>
            </w:r>
          </w:p>
        </w:tc>
        <w:tc>
          <w:tcPr>
            <w:tcW w:w="768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80" w:type="dxa"/>
            <w:vAlign w:val="center"/>
          </w:tcPr>
          <w:p>
            <w:r>
              <w:rPr>
                <w:rFonts w:hint="eastAsia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r>
              <w:t>智能电源</w:t>
            </w:r>
          </w:p>
        </w:tc>
        <w:tc>
          <w:tcPr>
            <w:tcW w:w="5412" w:type="dxa"/>
            <w:vAlign w:val="center"/>
          </w:tcPr>
          <w:p>
            <w:r>
              <w:rPr>
                <w:rFonts w:hint="eastAsia"/>
              </w:rPr>
              <w:t>通过地震行业的设备入网定型测试；</w:t>
            </w:r>
          </w:p>
          <w:p>
            <w:r>
              <w:rPr>
                <w:rFonts w:hint="eastAsia"/>
              </w:rPr>
              <w:t>▲1.供电输入：支持1路220伏交流输入，交流电压95伏至295伏可工作，具备保护功能；支持1路800W太阳能输入，支持2路DC12V蓄电池组输入。对于21.6</w:t>
            </w:r>
            <w:r>
              <w:t>V</w:t>
            </w:r>
            <w:r>
              <w:rPr>
                <w:rFonts w:hint="eastAsia"/>
              </w:rPr>
              <w:t>以下太阳能电池板，交流、太阳能充电器内置于主机机箱内。</w:t>
            </w:r>
          </w:p>
          <w:p>
            <w:r>
              <w:rPr>
                <w:rFonts w:hint="eastAsia"/>
              </w:rPr>
              <w:t>▲2.供电输出：6路独立模块化直流供电输出，总输出功率≥360W，单路可输出功率不低于60W，远程可控通断（常闭），接口为栅栏式接线端子（罩盖，每路两个端子）。具备升级提供内置的直流逆变交流功能，可通过客户端软件远程控制逆变的交流输出的通断，且当用户市电断开后逆变的交流输出无中断。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>（1）6路独立模块化直流供电输出，包括 +12V输出6组，单路额定电流5A，</w:t>
            </w:r>
            <w:r>
              <w:rPr>
                <w:rFonts w:hint="eastAsia"/>
                <w:b/>
              </w:rPr>
              <w:t>一共2台。</w:t>
            </w:r>
          </w:p>
          <w:p>
            <w:r>
              <w:rPr>
                <w:rFonts w:hint="eastAsia"/>
              </w:rPr>
              <w:t>（2）6路独立模块化直流供电输出，包括 +12V输出5组，+24V输出1组，</w:t>
            </w:r>
            <w:r>
              <w:rPr>
                <w:rFonts w:hint="eastAsia"/>
                <w:b/>
              </w:rPr>
              <w:t>一共1台。</w:t>
            </w:r>
          </w:p>
          <w:p>
            <w:r>
              <w:rPr>
                <w:rFonts w:hint="eastAsia"/>
              </w:rPr>
              <w:t>（3）6路独立模块化直流供电输出，其中 +12V输出4组，+24V输出1组，220 V交流输出1组，</w:t>
            </w:r>
            <w:r>
              <w:rPr>
                <w:rFonts w:hint="eastAsia"/>
                <w:b/>
              </w:rPr>
              <w:t>一共3台。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>（4）6路独立模块化直流供电输出，其中 +12V输出3组，+24V输出1组，+48V输出1组，220 V交流输出1组，</w:t>
            </w:r>
            <w:r>
              <w:rPr>
                <w:rFonts w:hint="eastAsia"/>
                <w:b/>
              </w:rPr>
              <w:t>一共1台。</w:t>
            </w:r>
          </w:p>
          <w:p>
            <w:r>
              <w:rPr>
                <w:rFonts w:hint="eastAsia"/>
              </w:rPr>
              <w:t>（5）6路独立模块化直流供电输出，其中 +12V输出4组，+52～56V输出2组，</w:t>
            </w:r>
            <w:r>
              <w:rPr>
                <w:rFonts w:hint="eastAsia"/>
                <w:b/>
              </w:rPr>
              <w:t>一共5台。</w:t>
            </w:r>
          </w:p>
          <w:p>
            <w:r>
              <w:rPr>
                <w:rFonts w:hint="eastAsia"/>
              </w:rPr>
              <w:t>3.旁路输出：支持现场手动和远程手动、系统自动三种模式的旁路直供功能，并在客户端软件上显示工作状态。</w:t>
            </w:r>
          </w:p>
          <w:p>
            <w:r>
              <w:rPr>
                <w:rFonts w:hint="eastAsia"/>
              </w:rPr>
              <w:t>4.充电能力：支持交流及太阳能充电，充电优先级可选；支持多类型蓄电池，可根据蓄电池类型（默认铅酸）现场、远程设置充电策略及参数，具备过充电、过放电自动保护。支持隔离充电和浮充两种模式。</w:t>
            </w:r>
          </w:p>
          <w:p>
            <w:r>
              <w:rPr>
                <w:rFonts w:hint="eastAsia"/>
              </w:rPr>
              <w:t>5.欠压保护：当用于供电的蓄电池电压值低于11.5V时告警，低于11V时停止供电，电压恢复到12V后，自动恢复供电。且当电池电压低于10.8</w:t>
            </w:r>
            <w:r>
              <w:t>V</w:t>
            </w:r>
            <w:r>
              <w:rPr>
                <w:rFonts w:hint="eastAsia"/>
              </w:rPr>
              <w:t>后暂停蜂鸣器和充电控制器工作，电池电压恢复到11.4V后恢复自动工作。</w:t>
            </w:r>
          </w:p>
          <w:p>
            <w:r>
              <w:rPr>
                <w:rFonts w:hint="eastAsia"/>
              </w:rPr>
              <w:t>6.管理指标要求：具备远程查看及更改设备网络、报警阈值、台站信息等参数的功能。修改参数及时生效，无需重启设备，且断电后保持。具备远程调整交流充电的均充（吸收充）电压、浮充电压，均充转浮充电流，具备充电温度补偿功能。</w:t>
            </w:r>
          </w:p>
          <w:p>
            <w:r>
              <w:rPr>
                <w:rFonts w:hint="eastAsia"/>
              </w:rPr>
              <w:t>7. 工作环境要求：温度-30℃～55℃，湿度10～98%。</w:t>
            </w:r>
          </w:p>
        </w:tc>
        <w:tc>
          <w:tcPr>
            <w:tcW w:w="768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780" w:type="dxa"/>
            <w:vAlign w:val="center"/>
          </w:tcPr>
          <w:p>
            <w:r>
              <w:rPr>
                <w:rFonts w:hint="eastAsia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r>
              <w:rPr>
                <w:rFonts w:hint="eastAsia"/>
              </w:rPr>
              <w:t>共计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5412" w:type="dxa"/>
            <w:vAlign w:val="center"/>
          </w:tcPr>
          <w:p/>
        </w:tc>
        <w:tc>
          <w:tcPr>
            <w:tcW w:w="768" w:type="dxa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780" w:type="dxa"/>
            <w:vAlign w:val="center"/>
          </w:tcPr>
          <w:p>
            <w:r>
              <w:rPr>
                <w:rFonts w:hint="eastAsia"/>
              </w:rPr>
              <w:t>18</w:t>
            </w:r>
          </w:p>
        </w:tc>
      </w:tr>
    </w:tbl>
    <w:p/>
    <w:sectPr>
      <w:pgSz w:w="11906" w:h="16838"/>
      <w:pgMar w:top="1213" w:right="1463" w:bottom="1213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DliMTA5MGIxMWQyOTE3YzAzODA3OWJmYmI3NzMifQ=="/>
  </w:docVars>
  <w:rsids>
    <w:rsidRoot w:val="70B25AB6"/>
    <w:rsid w:val="07A743B8"/>
    <w:rsid w:val="70B2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2023-10-09T06:15:00Z</dcterms:created>
  <dc:creator>77</dc:creator>
  <cp:lastModifiedBy>画</cp:lastModifiedBy>
  <dcterms:modified xsi:type="dcterms:W3CDTF">2023-10-11T02:21:02Z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A5EE4E6D636140CFB1B4E17C5F249FF4_13</vt:lpwstr>
  </property>
</Properties>
</file>