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7" w:line="240" w:lineRule="auto"/>
        <w:jc w:val="center"/>
        <w:rPr>
          <w:rFonts w:hint="eastAsia" w:ascii="宋体" w:hAnsi="宋体" w:eastAsia="宋体" w:cs="宋体"/>
          <w:b/>
          <w:bCs/>
          <w:sz w:val="2"/>
          <w:lang w:val="en-US" w:eastAsia="zh-CN"/>
        </w:rPr>
      </w:pPr>
      <w:r>
        <w:rPr>
          <w:rFonts w:hint="eastAsia" w:ascii="宋体" w:hAnsi="宋体" w:eastAsia="宋体" w:cs="宋体"/>
          <w:b/>
          <w:bCs/>
          <w:sz w:val="32"/>
          <w:szCs w:val="32"/>
          <w:lang w:val="en-US" w:eastAsia="zh-CN"/>
        </w:rPr>
        <w:t>触控落地式地震预警服务与科普终端</w:t>
      </w:r>
    </w:p>
    <w:tbl>
      <w:tblPr>
        <w:tblStyle w:val="7"/>
        <w:tblpPr w:leftFromText="180" w:rightFromText="180" w:vertAnchor="text" w:horzAnchor="page" w:tblpX="769" w:tblpY="18"/>
        <w:tblOverlap w:val="never"/>
        <w:tblW w:w="153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536"/>
        <w:gridCol w:w="852"/>
        <w:gridCol w:w="9828"/>
        <w:gridCol w:w="22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04"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lang w:val="en-US" w:eastAsia="zh-CN"/>
              </w:rPr>
              <w:t>序号</w:t>
            </w:r>
          </w:p>
        </w:tc>
        <w:tc>
          <w:tcPr>
            <w:tcW w:w="1536"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lang w:val="en-US" w:eastAsia="zh-CN"/>
              </w:rPr>
              <w:t>指标项</w:t>
            </w:r>
          </w:p>
        </w:tc>
        <w:tc>
          <w:tcPr>
            <w:tcW w:w="852"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lang w:val="en-US" w:eastAsia="zh-CN" w:bidi="ar-SA"/>
              </w:rPr>
            </w:pPr>
            <w:r>
              <w:rPr>
                <w:rFonts w:hint="eastAsia" w:ascii="宋体" w:hAnsi="宋体" w:eastAsia="宋体" w:cs="宋体"/>
                <w:b/>
                <w:bCs/>
                <w:lang w:val="en-US" w:eastAsia="zh-CN"/>
              </w:rPr>
              <w:t>重要性</w:t>
            </w:r>
          </w:p>
        </w:tc>
        <w:tc>
          <w:tcPr>
            <w:tcW w:w="9828"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b/>
                <w:bCs/>
                <w:spacing w:val="-2"/>
              </w:rPr>
              <w:t>指标要求</w:t>
            </w:r>
          </w:p>
        </w:tc>
        <w:tc>
          <w:tcPr>
            <w:tcW w:w="2280"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b/>
                <w:bCs/>
                <w:spacing w:val="-1"/>
              </w:rPr>
              <w:t>证明材料要求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804" w:type="dxa"/>
            <w:vAlign w:val="center"/>
          </w:tcPr>
          <w:p>
            <w:pPr>
              <w:pStyle w:val="6"/>
              <w:spacing w:before="68"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1536" w:type="dxa"/>
            <w:vAlign w:val="center"/>
          </w:tcPr>
          <w:p>
            <w:pPr>
              <w:pStyle w:val="6"/>
              <w:spacing w:before="68" w:line="240" w:lineRule="auto"/>
              <w:jc w:val="center"/>
              <w:rPr>
                <w:rFonts w:hint="eastAsia" w:ascii="宋体" w:hAnsi="宋体" w:eastAsia="宋体" w:cs="宋体"/>
                <w:sz w:val="21"/>
                <w:szCs w:val="21"/>
              </w:rPr>
            </w:pPr>
            <w:r>
              <w:rPr>
                <w:rFonts w:hint="eastAsia" w:ascii="宋体" w:hAnsi="宋体" w:eastAsia="宋体" w:cs="宋体"/>
                <w:spacing w:val="-2"/>
                <w:sz w:val="21"/>
                <w:szCs w:val="21"/>
              </w:rPr>
              <w:t>基本要求</w:t>
            </w:r>
          </w:p>
        </w:tc>
        <w:tc>
          <w:tcPr>
            <w:tcW w:w="852" w:type="dxa"/>
            <w:vAlign w:val="center"/>
          </w:tcPr>
          <w:p>
            <w:pPr>
              <w:pStyle w:val="6"/>
              <w:spacing w:before="69" w:line="240" w:lineRule="auto"/>
              <w:ind w:left="116"/>
              <w:jc w:val="center"/>
              <w:rPr>
                <w:rFonts w:hint="eastAsia" w:ascii="宋体" w:hAnsi="宋体" w:eastAsia="宋体" w:cs="宋体"/>
                <w:sz w:val="21"/>
                <w:szCs w:val="21"/>
              </w:rPr>
            </w:pPr>
            <w:r>
              <w:rPr>
                <w:rFonts w:hint="eastAsia" w:ascii="宋体" w:hAnsi="宋体" w:eastAsia="宋体" w:cs="宋体"/>
                <w:sz w:val="21"/>
                <w:szCs w:val="21"/>
              </w:rPr>
              <w:t>★</w:t>
            </w:r>
          </w:p>
        </w:tc>
        <w:tc>
          <w:tcPr>
            <w:tcW w:w="9828" w:type="dxa"/>
            <w:vAlign w:val="center"/>
          </w:tcPr>
          <w:p>
            <w:pPr>
              <w:pStyle w:val="6"/>
              <w:spacing w:before="29" w:line="240" w:lineRule="auto"/>
              <w:ind w:left="109" w:right="55" w:firstLine="3"/>
              <w:jc w:val="both"/>
              <w:rPr>
                <w:rFonts w:hint="eastAsia" w:ascii="宋体" w:hAnsi="宋体" w:eastAsia="宋体" w:cs="宋体"/>
                <w:sz w:val="21"/>
                <w:szCs w:val="21"/>
              </w:rPr>
            </w:pPr>
            <w:r>
              <w:rPr>
                <w:rFonts w:hint="eastAsia" w:ascii="宋体" w:hAnsi="宋体" w:eastAsia="宋体" w:cs="宋体"/>
                <w:spacing w:val="-3"/>
              </w:rPr>
              <w:t>投标产品</w:t>
            </w:r>
            <w:r>
              <w:rPr>
                <w:rFonts w:hint="eastAsia" w:ascii="宋体" w:hAnsi="宋体" w:eastAsia="宋体" w:cs="宋体"/>
                <w:spacing w:val="-3"/>
                <w:lang w:val="en-US" w:eastAsia="zh-CN"/>
              </w:rPr>
              <w:t>为</w:t>
            </w:r>
            <w:r>
              <w:rPr>
                <w:rFonts w:hint="eastAsia" w:ascii="宋体" w:hAnsi="宋体" w:eastAsia="宋体" w:cs="宋体"/>
                <w:spacing w:val="-3"/>
              </w:rPr>
              <w:t>地震监测专业设备定型的设备</w:t>
            </w:r>
            <w:r>
              <w:rPr>
                <w:rFonts w:hint="eastAsia" w:ascii="宋体" w:hAnsi="宋体" w:eastAsia="宋体" w:cs="宋体"/>
                <w:spacing w:val="7"/>
                <w:sz w:val="21"/>
                <w:szCs w:val="21"/>
              </w:rPr>
              <w:t>；屏幕≥</w:t>
            </w:r>
            <w:r>
              <w:rPr>
                <w:rFonts w:hint="eastAsia" w:cs="宋体"/>
                <w:spacing w:val="7"/>
                <w:sz w:val="21"/>
                <w:szCs w:val="21"/>
                <w:lang w:val="en-US" w:eastAsia="zh-CN"/>
              </w:rPr>
              <w:t>32</w:t>
            </w:r>
            <w:r>
              <w:rPr>
                <w:rFonts w:hint="eastAsia" w:ascii="宋体" w:hAnsi="宋体" w:eastAsia="宋体" w:cs="宋体"/>
                <w:spacing w:val="7"/>
                <w:sz w:val="21"/>
                <w:szCs w:val="21"/>
              </w:rPr>
              <w:t>英寸，分辨率≥</w:t>
            </w:r>
            <w:r>
              <w:rPr>
                <w:rFonts w:hint="eastAsia" w:ascii="宋体" w:hAnsi="宋体" w:eastAsia="宋体" w:cs="宋体"/>
                <w:spacing w:val="-2"/>
                <w:sz w:val="21"/>
                <w:szCs w:val="21"/>
              </w:rPr>
              <w:t>1920*1080像素，具备多点触摸功能；具备红、橙、</w:t>
            </w:r>
            <w:r>
              <w:rPr>
                <w:rFonts w:hint="eastAsia" w:ascii="宋体" w:hAnsi="宋体" w:eastAsia="宋体" w:cs="宋体"/>
                <w:spacing w:val="-4"/>
                <w:sz w:val="21"/>
                <w:szCs w:val="21"/>
              </w:rPr>
              <w:t>黄、蓝四种颜色报警；具备闪烁（爆闪）功能；</w:t>
            </w:r>
            <w:r>
              <w:rPr>
                <w:rFonts w:hint="eastAsia" w:ascii="宋体" w:hAnsi="宋体" w:eastAsia="宋体" w:cs="宋体"/>
                <w:spacing w:val="2"/>
                <w:sz w:val="21"/>
                <w:szCs w:val="21"/>
              </w:rPr>
              <w:t>具备可根据预警发布规则配置进行灯光告警功能，</w:t>
            </w:r>
            <w:r>
              <w:rPr>
                <w:rFonts w:hint="eastAsia" w:ascii="宋体" w:hAnsi="宋体" w:eastAsia="宋体" w:cs="宋体"/>
                <w:spacing w:val="-3"/>
                <w:sz w:val="21"/>
                <w:szCs w:val="21"/>
              </w:rPr>
              <w:t>以及具备地震预警分级响应，及速报信息等展示；</w:t>
            </w:r>
            <w:r>
              <w:rPr>
                <w:rFonts w:hint="eastAsia" w:ascii="宋体" w:hAnsi="宋体" w:eastAsia="宋体" w:cs="宋体"/>
                <w:spacing w:val="-6"/>
                <w:sz w:val="21"/>
                <w:szCs w:val="21"/>
              </w:rPr>
              <w:t>提供≥2个内置声音报警器，报警时输出功率≥20W；</w:t>
            </w:r>
            <w:r>
              <w:rPr>
                <w:rFonts w:hint="eastAsia" w:ascii="宋体" w:hAnsi="宋体" w:eastAsia="宋体" w:cs="宋体"/>
                <w:spacing w:val="-5"/>
                <w:sz w:val="21"/>
                <w:szCs w:val="21"/>
              </w:rPr>
              <w:t>提供不少于</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年的质保服务（含设备通信费）。</w:t>
            </w:r>
          </w:p>
        </w:tc>
        <w:tc>
          <w:tcPr>
            <w:tcW w:w="2280" w:type="dxa"/>
            <w:vAlign w:val="center"/>
          </w:tcPr>
          <w:p>
            <w:pPr>
              <w:pStyle w:val="6"/>
              <w:spacing w:before="68" w:line="240" w:lineRule="auto"/>
              <w:jc w:val="both"/>
              <w:rPr>
                <w:rFonts w:hint="eastAsia" w:ascii="宋体" w:hAnsi="宋体" w:eastAsia="宋体" w:cs="宋体"/>
                <w:sz w:val="21"/>
                <w:szCs w:val="21"/>
              </w:rPr>
            </w:pPr>
            <w:r>
              <w:rPr>
                <w:rFonts w:hint="eastAsia" w:ascii="宋体" w:hAnsi="宋体" w:eastAsia="宋体" w:cs="宋体"/>
                <w:spacing w:val="-2"/>
                <w:sz w:val="21"/>
                <w:szCs w:val="21"/>
              </w:rPr>
              <w:t>是，提供相</w:t>
            </w:r>
            <w:r>
              <w:rPr>
                <w:rFonts w:hint="eastAsia" w:ascii="宋体" w:hAnsi="宋体" w:eastAsia="宋体" w:cs="宋体"/>
                <w:spacing w:val="-3"/>
                <w:sz w:val="21"/>
                <w:szCs w:val="21"/>
              </w:rPr>
              <w:t>关证明材</w:t>
            </w:r>
            <w:r>
              <w:rPr>
                <w:rFonts w:hint="eastAsia" w:ascii="宋体" w:hAnsi="宋体" w:eastAsia="宋体" w:cs="宋体"/>
                <w:spacing w:val="-1"/>
                <w:sz w:val="21"/>
                <w:szCs w:val="21"/>
              </w:rPr>
              <w:t>料，并盖投</w:t>
            </w:r>
            <w:r>
              <w:rPr>
                <w:rFonts w:hint="eastAsia" w:ascii="宋体" w:hAnsi="宋体" w:eastAsia="宋体" w:cs="宋体"/>
                <w:spacing w:val="-2"/>
                <w:sz w:val="21"/>
                <w:szCs w:val="21"/>
              </w:rPr>
              <w:t>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0" w:hRule="atLeast"/>
        </w:trPr>
        <w:tc>
          <w:tcPr>
            <w:tcW w:w="804" w:type="dxa"/>
            <w:vAlign w:val="center"/>
          </w:tcPr>
          <w:p>
            <w:pPr>
              <w:pStyle w:val="6"/>
              <w:spacing w:before="68"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36" w:type="dxa"/>
            <w:vAlign w:val="center"/>
          </w:tcPr>
          <w:p>
            <w:pPr>
              <w:pStyle w:val="6"/>
              <w:spacing w:before="68"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预警服务</w:t>
            </w:r>
          </w:p>
        </w:tc>
        <w:tc>
          <w:tcPr>
            <w:tcW w:w="852" w:type="dxa"/>
            <w:vAlign w:val="center"/>
          </w:tcPr>
          <w:p>
            <w:pPr>
              <w:pStyle w:val="6"/>
              <w:spacing w:before="68" w:line="240" w:lineRule="auto"/>
              <w:ind w:left="116"/>
              <w:jc w:val="center"/>
              <w:rPr>
                <w:rFonts w:hint="eastAsia" w:ascii="宋体" w:hAnsi="宋体" w:eastAsia="宋体" w:cs="宋体"/>
                <w:sz w:val="21"/>
                <w:szCs w:val="21"/>
              </w:rPr>
            </w:pPr>
            <w:r>
              <w:rPr>
                <w:rFonts w:hint="eastAsia" w:ascii="宋体" w:hAnsi="宋体" w:eastAsia="宋体" w:cs="宋体"/>
                <w:sz w:val="21"/>
                <w:szCs w:val="21"/>
              </w:rPr>
              <w:t>★</w:t>
            </w:r>
          </w:p>
        </w:tc>
        <w:tc>
          <w:tcPr>
            <w:tcW w:w="9828" w:type="dxa"/>
            <w:vAlign w:val="center"/>
          </w:tcPr>
          <w:p>
            <w:pPr>
              <w:pStyle w:val="6"/>
              <w:spacing w:before="33" w:line="240" w:lineRule="auto"/>
              <w:ind w:left="109" w:right="109"/>
              <w:jc w:val="both"/>
              <w:rPr>
                <w:rFonts w:hint="eastAsia" w:ascii="宋体" w:hAnsi="宋体" w:eastAsia="宋体" w:cs="宋体"/>
                <w:sz w:val="21"/>
                <w:szCs w:val="21"/>
              </w:rPr>
            </w:pPr>
            <w:r>
              <w:rPr>
                <w:rFonts w:hint="eastAsia" w:ascii="宋体" w:hAnsi="宋体" w:eastAsia="宋体" w:cs="宋体"/>
                <w:spacing w:val="-7"/>
                <w:sz w:val="21"/>
                <w:szCs w:val="21"/>
              </w:rPr>
              <w:t>遵循《中国地震预警网地震预警信息发布指南》</w:t>
            </w:r>
            <w:r>
              <w:rPr>
                <w:rFonts w:hint="eastAsia" w:ascii="宋体" w:hAnsi="宋体" w:eastAsia="宋体" w:cs="宋体"/>
                <w:spacing w:val="-5"/>
                <w:sz w:val="21"/>
                <w:szCs w:val="21"/>
              </w:rPr>
              <w:t>和《国家地震烈度速报与预警工程项目紧急</w:t>
            </w:r>
            <w:r>
              <w:rPr>
                <w:rFonts w:hint="eastAsia" w:ascii="宋体" w:hAnsi="宋体" w:eastAsia="宋体" w:cs="宋体"/>
                <w:spacing w:val="-4"/>
                <w:sz w:val="21"/>
                <w:szCs w:val="21"/>
              </w:rPr>
              <w:t>地震信息服务终端相关技术要求》</w:t>
            </w:r>
            <w:r>
              <w:rPr>
                <w:rFonts w:hint="eastAsia" w:ascii="宋体" w:hAnsi="宋体" w:eastAsia="宋体" w:cs="宋体"/>
                <w:spacing w:val="-9"/>
                <w:sz w:val="21"/>
                <w:szCs w:val="21"/>
              </w:rPr>
              <w:t>，</w:t>
            </w:r>
            <w:r>
              <w:rPr>
                <w:rFonts w:hint="eastAsia" w:ascii="宋体" w:hAnsi="宋体" w:eastAsia="宋体" w:cs="宋体"/>
                <w:spacing w:val="-4"/>
                <w:sz w:val="21"/>
                <w:szCs w:val="21"/>
              </w:rPr>
              <w:t>对紧</w:t>
            </w:r>
            <w:r>
              <w:rPr>
                <w:rFonts w:hint="eastAsia" w:ascii="宋体" w:hAnsi="宋体" w:eastAsia="宋体" w:cs="宋体"/>
                <w:spacing w:val="3"/>
                <w:sz w:val="21"/>
                <w:szCs w:val="21"/>
              </w:rPr>
              <w:t>急信息服务平台的各类信息进行解析和处置；具备计算本地烈度和预警等级功能，可根据预警信息估</w:t>
            </w:r>
            <w:r>
              <w:rPr>
                <w:rFonts w:hint="eastAsia" w:ascii="宋体" w:hAnsi="宋体" w:eastAsia="宋体" w:cs="宋体"/>
                <w:spacing w:val="-2"/>
                <w:sz w:val="21"/>
                <w:szCs w:val="21"/>
              </w:rPr>
              <w:t>算本地烈度和预警等级。</w:t>
            </w:r>
            <w:r>
              <w:rPr>
                <w:rFonts w:hint="eastAsia" w:ascii="宋体" w:hAnsi="宋体" w:eastAsia="宋体" w:cs="宋体"/>
                <w:spacing w:val="2"/>
                <w:sz w:val="21"/>
                <w:szCs w:val="21"/>
              </w:rPr>
              <w:t>当终端设备处于预警响应状态下时，预警相关服务</w:t>
            </w:r>
            <w:r>
              <w:rPr>
                <w:rFonts w:hint="eastAsia" w:ascii="宋体" w:hAnsi="宋体" w:eastAsia="宋体" w:cs="宋体"/>
                <w:spacing w:val="-6"/>
                <w:sz w:val="21"/>
                <w:szCs w:val="21"/>
              </w:rPr>
              <w:t>优先级最高，预警服务所占用屏显、声音、通讯等资</w:t>
            </w:r>
            <w:r>
              <w:rPr>
                <w:rFonts w:hint="eastAsia" w:ascii="宋体" w:hAnsi="宋体" w:eastAsia="宋体" w:cs="宋体"/>
                <w:spacing w:val="-3"/>
                <w:sz w:val="21"/>
                <w:szCs w:val="21"/>
              </w:rPr>
              <w:t>源不得被其他应用占用；</w:t>
            </w:r>
            <w:r>
              <w:rPr>
                <w:rFonts w:hint="eastAsia" w:ascii="宋体" w:hAnsi="宋体" w:eastAsia="宋体" w:cs="宋体"/>
                <w:spacing w:val="2"/>
                <w:sz w:val="21"/>
                <w:szCs w:val="21"/>
              </w:rPr>
              <w:t>当终端设备同时收到多个预警信息时，优先响应预</w:t>
            </w:r>
            <w:r>
              <w:rPr>
                <w:rFonts w:hint="eastAsia" w:ascii="宋体" w:hAnsi="宋体" w:eastAsia="宋体" w:cs="宋体"/>
                <w:spacing w:val="3"/>
                <w:sz w:val="21"/>
                <w:szCs w:val="21"/>
              </w:rPr>
              <w:t>警等级高的预警事件；预警显示模式包括但不限于</w:t>
            </w:r>
            <w:r>
              <w:rPr>
                <w:rFonts w:hint="eastAsia" w:ascii="宋体" w:hAnsi="宋体" w:eastAsia="宋体" w:cs="宋体"/>
                <w:spacing w:val="-8"/>
                <w:sz w:val="21"/>
                <w:szCs w:val="21"/>
              </w:rPr>
              <w:t>显示最大、显示首报、即时显示、显示终报</w:t>
            </w:r>
            <w:r>
              <w:rPr>
                <w:rFonts w:hint="eastAsia" w:ascii="宋体" w:hAnsi="宋体" w:eastAsia="宋体" w:cs="宋体"/>
                <w:spacing w:val="-9"/>
                <w:sz w:val="21"/>
                <w:szCs w:val="21"/>
              </w:rPr>
              <w:t>模式；支</w:t>
            </w:r>
            <w:r>
              <w:rPr>
                <w:rFonts w:hint="eastAsia" w:ascii="宋体" w:hAnsi="宋体" w:eastAsia="宋体" w:cs="宋体"/>
                <w:spacing w:val="-6"/>
                <w:sz w:val="21"/>
                <w:szCs w:val="21"/>
              </w:rPr>
              <w:t>持预警取消，并具备相应响应机制；具备预警事件回</w:t>
            </w:r>
            <w:r>
              <w:rPr>
                <w:rFonts w:hint="eastAsia" w:ascii="宋体" w:hAnsi="宋体" w:eastAsia="宋体" w:cs="宋体"/>
                <w:spacing w:val="-2"/>
                <w:sz w:val="21"/>
                <w:szCs w:val="21"/>
              </w:rPr>
              <w:t>放功能。</w:t>
            </w:r>
          </w:p>
        </w:tc>
        <w:tc>
          <w:tcPr>
            <w:tcW w:w="2280" w:type="dxa"/>
            <w:vAlign w:val="center"/>
          </w:tcPr>
          <w:p>
            <w:pPr>
              <w:pStyle w:val="6"/>
              <w:spacing w:before="69" w:line="240" w:lineRule="auto"/>
              <w:jc w:val="both"/>
              <w:rPr>
                <w:rFonts w:hint="eastAsia" w:ascii="宋体" w:hAnsi="宋体" w:eastAsia="宋体" w:cs="宋体"/>
                <w:sz w:val="21"/>
                <w:szCs w:val="21"/>
              </w:rPr>
            </w:pPr>
            <w:r>
              <w:rPr>
                <w:rFonts w:hint="eastAsia" w:ascii="宋体" w:hAnsi="宋体" w:eastAsia="宋体" w:cs="宋体"/>
                <w:spacing w:val="-2"/>
                <w:sz w:val="21"/>
                <w:szCs w:val="21"/>
              </w:rPr>
              <w:t>是，提供相</w:t>
            </w:r>
            <w:r>
              <w:rPr>
                <w:rFonts w:hint="eastAsia" w:ascii="宋体" w:hAnsi="宋体" w:eastAsia="宋体" w:cs="宋体"/>
                <w:spacing w:val="-3"/>
                <w:sz w:val="21"/>
                <w:szCs w:val="21"/>
              </w:rPr>
              <w:t>关证明材</w:t>
            </w:r>
            <w:r>
              <w:rPr>
                <w:rFonts w:hint="eastAsia" w:ascii="宋体" w:hAnsi="宋体" w:eastAsia="宋体" w:cs="宋体"/>
                <w:spacing w:val="-1"/>
                <w:sz w:val="21"/>
                <w:szCs w:val="21"/>
              </w:rPr>
              <w:t>料，并盖投</w:t>
            </w:r>
            <w:r>
              <w:rPr>
                <w:rFonts w:hint="eastAsia" w:ascii="宋体" w:hAnsi="宋体" w:eastAsia="宋体" w:cs="宋体"/>
                <w:spacing w:val="-2"/>
                <w:sz w:val="21"/>
                <w:szCs w:val="21"/>
              </w:rPr>
              <w:t>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04" w:type="dxa"/>
            <w:vAlign w:val="center"/>
          </w:tcPr>
          <w:p>
            <w:pPr>
              <w:bidi w:val="0"/>
              <w:spacing w:line="24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3</w:t>
            </w:r>
          </w:p>
        </w:tc>
        <w:tc>
          <w:tcPr>
            <w:tcW w:w="1536" w:type="dxa"/>
            <w:vAlign w:val="center"/>
          </w:tcPr>
          <w:p>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操作系统</w:t>
            </w:r>
          </w:p>
        </w:tc>
        <w:tc>
          <w:tcPr>
            <w:tcW w:w="852" w:type="dxa"/>
            <w:vAlign w:val="center"/>
          </w:tcPr>
          <w:p>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9828" w:type="dxa"/>
            <w:vAlign w:val="center"/>
          </w:tcPr>
          <w:p>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终端系统为Android、Linux、Unix或国产鸿蒙等操作系统，且具备白名单访问设置和功能，具备禁用系统（弱）端口功能；具备限制USB存储设备功能和I/O接口管控功能；终端支持TTS，系统提供TTS功能，支持远程系统升级服务。</w:t>
            </w:r>
          </w:p>
        </w:tc>
        <w:tc>
          <w:tcPr>
            <w:tcW w:w="2280" w:type="dxa"/>
            <w:vAlign w:val="center"/>
          </w:tcPr>
          <w:p>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04" w:type="dxa"/>
            <w:vAlign w:val="center"/>
          </w:tcPr>
          <w:p>
            <w:pPr>
              <w:bidi w:val="0"/>
              <w:spacing w:line="24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4</w:t>
            </w:r>
          </w:p>
        </w:tc>
        <w:tc>
          <w:tcPr>
            <w:tcW w:w="1536" w:type="dxa"/>
            <w:vAlign w:val="center"/>
          </w:tcPr>
          <w:p>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通信及接口</w:t>
            </w:r>
          </w:p>
        </w:tc>
        <w:tc>
          <w:tcPr>
            <w:tcW w:w="852" w:type="dxa"/>
            <w:vAlign w:val="center"/>
          </w:tcPr>
          <w:p>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9828" w:type="dxa"/>
            <w:vAlign w:val="center"/>
          </w:tcPr>
          <w:p>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支持并提供RJ45有线网络、WIFI以及物联网（同时支持联通、电信和移动制式物联网卡，支持4G等制式）通信接入；支持并具备音频输出和HDMI输出；具备有线、无线预警联动输出接口；支持USB接口，提供≥2个USB 2.0及以上接口。</w:t>
            </w:r>
          </w:p>
        </w:tc>
        <w:tc>
          <w:tcPr>
            <w:tcW w:w="2280" w:type="dxa"/>
            <w:vAlign w:val="center"/>
          </w:tcPr>
          <w:p>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04" w:type="dxa"/>
            <w:vAlign w:val="center"/>
          </w:tcPr>
          <w:p>
            <w:pPr>
              <w:bidi w:val="0"/>
              <w:spacing w:line="240" w:lineRule="auto"/>
              <w:jc w:val="center"/>
              <w:rPr>
                <w:rFonts w:hint="eastAsia" w:ascii="宋体" w:hAnsi="宋体" w:eastAsia="宋体" w:cs="宋体"/>
                <w:b/>
                <w:bCs/>
                <w:lang w:val="en-US" w:eastAsia="zh-CN"/>
              </w:rPr>
            </w:pPr>
            <w:r>
              <w:rPr>
                <w:rFonts w:hint="eastAsia" w:ascii="宋体" w:hAnsi="宋体" w:eastAsia="宋体" w:cs="宋体"/>
                <w:b/>
                <w:bCs/>
                <w:lang w:val="en-US" w:eastAsia="zh-CN"/>
              </w:rPr>
              <w:t>5</w:t>
            </w:r>
          </w:p>
        </w:tc>
        <w:tc>
          <w:tcPr>
            <w:tcW w:w="1536" w:type="dxa"/>
            <w:vAlign w:val="center"/>
          </w:tcPr>
          <w:p>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时间服务</w:t>
            </w:r>
          </w:p>
        </w:tc>
        <w:tc>
          <w:tcPr>
            <w:tcW w:w="852" w:type="dxa"/>
            <w:vAlign w:val="center"/>
          </w:tcPr>
          <w:p>
            <w:pPr>
              <w:bidi w:val="0"/>
              <w:spacing w:line="240" w:lineRule="auto"/>
              <w:jc w:val="center"/>
              <w:rPr>
                <w:rFonts w:hint="eastAsia" w:ascii="宋体" w:hAnsi="宋体" w:eastAsia="宋体" w:cs="宋体"/>
                <w:lang w:val="en-US" w:eastAsia="zh-CN"/>
              </w:rPr>
            </w:pPr>
          </w:p>
          <w:p>
            <w:pPr>
              <w:bidi w:val="0"/>
              <w:spacing w:line="240" w:lineRule="auto"/>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9828" w:type="dxa"/>
            <w:vAlign w:val="center"/>
          </w:tcPr>
          <w:p>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系统时钟守时钟差±2秒/年（内部时钟可以通过4G信号进行校准）；支持NTP授时，采用NTP授时，终端钟差优于1/10秒。</w:t>
            </w:r>
          </w:p>
        </w:tc>
        <w:tc>
          <w:tcPr>
            <w:tcW w:w="2280" w:type="dxa"/>
            <w:vAlign w:val="center"/>
          </w:tcPr>
          <w:p>
            <w:pPr>
              <w:bidi w:val="0"/>
              <w:spacing w:line="240" w:lineRule="auto"/>
              <w:jc w:val="both"/>
              <w:rPr>
                <w:rFonts w:hint="eastAsia" w:ascii="宋体" w:hAnsi="宋体" w:eastAsia="宋体" w:cs="宋体"/>
                <w:lang w:val="en-US" w:eastAsia="zh-CN"/>
              </w:rPr>
            </w:pPr>
            <w:r>
              <w:rPr>
                <w:rFonts w:hint="eastAsia" w:ascii="宋体" w:hAnsi="宋体" w:eastAsia="宋体" w:cs="宋体"/>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6</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显示控制要求</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分区显示功能，分区显示内容可定制；状态可显示信息包括当前时间（日历）、连接状态（预警服务器）、气象信息、实时波形信息、最新地震消息（滚动显示）和科普宣传信息；预警响应状态显示信息包括预警信息、烈度速报信息、速报信息；终端收到预警信息后，显示自动切换至预警响应状态，此工作状态下，屏幕显示资源不得被其他应用占用，地震预警信息触发后4小时（可配置）可切换至日常运行状态；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当终端设备在日常工作状态下，且供电系统为内部电源供电，显示屏处于息屏模式。</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7</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科普知识库管理</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科普知识库管理功能，具备知识库创建、维护等功能，提供不少于10个安全知识题库（文字、图片和视频类）得1分，每多1个加0.2分，最高2分。证明材料需包括提题库名称和内容截图等。</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8</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科普互动管理</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科普互动应用管理，具备科普互动应用（动画）管理(增加、移除、查寻)功能，将科普知识以问答的方式呈现，提供3款互动科普应用得1分，每多提供1个得0.5分，最高得2分。需至少提供应用名称和应用截图等。</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9</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科普答题应用</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科普知识答题应用管理功能，具备科普互动应用（答题类）管理(增加、移除、查询、题库导入)功能，并将科普知识以体感互动的方式呈现，提供3款知识答题应用等1分，每多提个1个加0.5分，最高2分。需至少提供应用名称和应用截图等。</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10</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AR体感识别功能</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配置交互摄像头≥500W像素用于体感交互，支持实时人体体感运动识别，支持多人复杂场景下的主要人物识别。在可获取人物正/背面自然站立的画面下，提供实时识别人体结构关键节点≥18个。</w:t>
            </w:r>
          </w:p>
        </w:tc>
        <w:tc>
          <w:tcPr>
            <w:tcW w:w="228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11</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扩展功能</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提供终端体感识别拓展的开发语言接口文档，每提供一种得0.5分，最高得1分。</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12</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节能环保</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根据国家节假日设置节能和休眠模式，降低设备能耗，休眠期间不影响预警功能。</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13</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烈度计功能</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lang w:val="en-US" w:eastAsia="zh-CN"/>
              </w:rPr>
            </w:pPr>
            <w:r>
              <w:rPr>
                <w:rFonts w:hint="eastAsia" w:ascii="宋体" w:hAnsi="宋体" w:eastAsia="宋体" w:cs="宋体"/>
                <w:lang w:val="en-US" w:eastAsia="zh-CN"/>
              </w:rPr>
              <w:t>内置烈度计功能，动态范围≥80dB；支持以MiniSEED数据格式存储；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lang w:val="en-US" w:eastAsia="zh-CN"/>
              </w:rPr>
            </w:pPr>
            <w:r>
              <w:rPr>
                <w:rFonts w:hint="eastAsia" w:ascii="宋体" w:hAnsi="宋体" w:eastAsia="宋体" w:cs="宋体"/>
                <w:lang w:val="en-US" w:eastAsia="zh-CN"/>
              </w:rPr>
              <w:t>支持外接高性能，动态范围≥100dB， 线性度误差≤0.1%，加速度测量误差 ≤1.25%；</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lang w:val="en-US" w:eastAsia="zh-CN"/>
              </w:rPr>
              <w:t>支持实时波形信息显示。</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提供带有CNAS、CMA印章的第三方检测报告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14</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视频采集功能</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内置视频采集功能，视频采集时收录声音；具备视频文件循环保存功能；当终端响应预警信息时，或震动传感器达到阈值后，自动截取录制事件的视频并保存、上传到FTP服务器（FTP可配置，可选择关/停自动上传服务,上传文件命名规则清晰）；视频分辨率≥720P。</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15</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数据传输</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支持HTTP用于数据通讯和视频、日志文件的上传FTP服务器。</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16</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日志服务</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日志需连续记录，包括但不限于系统状态、系统自检、连接、操作、各类信息获取和确认、处理、显示、异常处理，且本地保存不少于30天；地震预警信息日志，包括但不限于报文接收信息、报文内容、报文回复、预警响应以及反馈信息等，本地保存且不少于3个月；支持日志分类、分级保存；支持定时上传日志文件到日志服务器（FTP可配置，可选择关/停自动上传服务,上传文件命名规则清晰）。</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17</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监控管理服务</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具备APP或Web远程管理，可查看终端设备状态、配置和管理相关参数，进行系统升级、重置、重启及预警相关应用升级和服务重启；提供终端远程运维监控系统，实时监控所有终端运行状态。</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18</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数据安全机制</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符合《信息技术安全技术实体鉴别第3部分：采用数字签名技术的机制》（GB/T 15843.3-2016）技术标准；符合PKCS#10格式（简称：P10）要求的证书签发请求；</w:t>
            </w:r>
            <w:r>
              <w:rPr>
                <w:rFonts w:hint="eastAsia" w:ascii="宋体" w:hAnsi="宋体" w:eastAsia="宋体" w:cs="宋体"/>
                <w:lang w:val="en-US" w:eastAsia="zh-CN"/>
              </w:rPr>
              <w:t>支持与宁夏紧急地震信息发布系统和防篡改系统集成</w:t>
            </w:r>
            <w:r>
              <w:rPr>
                <w:rFonts w:hint="eastAsia" w:ascii="宋体" w:hAnsi="宋体" w:eastAsia="宋体" w:cs="宋体"/>
                <w:sz w:val="21"/>
                <w:szCs w:val="21"/>
                <w:lang w:val="en-US" w:eastAsia="zh-CN"/>
              </w:rPr>
              <w:t>，符合《GB/T 32918.2-2016信息安全技术SM2椭圆曲线公钥密码算法第2部分》规定算法对消息体进行签名。</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6"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19</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系统自检</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终端设备可定时或手动进行自检，自检内容包括但不限于系统状态、网络状态、服务连接状态、视频采集状态；</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自检报告自动保存，支持远程查看；具备电源状态指示灯；系统根据自检结果标示系统当前健康状态，状态显示方式：1.智能显示：直接显示故障信息。2.严重故障：①红色状态指示，影响地震预警服务的相关故障，如网络异常、时钟问题；②一般故障，橙色状态指示，不影响地震预警服务的故障；③正常，绿色状态指示，无故障。支持以上两种状态显示方式。</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20</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电池</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终端配备内置断电应急备用电池。终端外接电源供电异常时，电池支持终端持续待机工作（屏幕处于息屏状态以节省电池开销，支持接收处理预警信息，并触发声音警报及灯光报警），电池启用后自动上传日志，并发送短信或邮件通知到关联人员进行维护。</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提供相关证明材料，盖投标人单位公章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21</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存储空间≥256G，支持存储空间扩展。当存储可用空间低于20%时，系统自动清除早期文件。</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22</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工作环境</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温度在-10℃~50℃,空气相对湿度值不大于90%RH，无凝露。</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是，提供第三方检测机构（具有CNAS或CMA资质）报告，并盖投标人公章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804"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23</w:t>
            </w:r>
          </w:p>
        </w:tc>
        <w:tc>
          <w:tcPr>
            <w:tcW w:w="1536"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安全稳定</w:t>
            </w:r>
          </w:p>
        </w:tc>
        <w:tc>
          <w:tcPr>
            <w:tcW w:w="852"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28"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机身整体符合安全用电规范，同时增加漏电保护、静电处理等多项安全保障措施；在正常环境和供电条件下可连续稳定工作，连续工作≥18000小时。</w:t>
            </w:r>
          </w:p>
        </w:tc>
        <w:tc>
          <w:tcPr>
            <w:tcW w:w="228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是，提供第三方检测机构（具有CNAS或CMA资质）报告，并盖投标人公章</w:t>
            </w:r>
          </w:p>
        </w:tc>
      </w:tr>
    </w:tbl>
    <w:p>
      <w:pPr>
        <w:spacing w:line="240" w:lineRule="auto"/>
        <w:rPr>
          <w:rFonts w:hint="eastAsia" w:ascii="宋体" w:hAnsi="宋体" w:eastAsia="宋体" w:cs="宋体"/>
          <w:sz w:val="2"/>
        </w:rPr>
      </w:pPr>
    </w:p>
    <w:p>
      <w:pPr>
        <w:spacing w:line="240" w:lineRule="auto"/>
        <w:rPr>
          <w:rFonts w:hint="eastAsia" w:ascii="宋体" w:hAnsi="宋体" w:eastAsia="宋体" w:cs="宋体"/>
        </w:rPr>
      </w:pP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spacing w:before="67" w:line="240" w:lineRule="auto"/>
        <w:jc w:val="center"/>
        <w:rPr>
          <w:rFonts w:hint="eastAsia" w:ascii="宋体" w:hAnsi="宋体" w:eastAsia="宋体" w:cs="宋体"/>
          <w:b/>
          <w:bCs/>
          <w:sz w:val="2"/>
          <w:lang w:val="en-US" w:eastAsia="zh-CN"/>
        </w:rPr>
      </w:pPr>
      <w:r>
        <w:rPr>
          <w:rFonts w:hint="eastAsia" w:ascii="宋体" w:hAnsi="宋体" w:eastAsia="宋体" w:cs="宋体"/>
          <w:b/>
          <w:bCs/>
          <w:sz w:val="32"/>
          <w:szCs w:val="32"/>
          <w:lang w:val="en-US" w:eastAsia="zh-CN"/>
        </w:rPr>
        <w:t>触控落地式预警终端</w:t>
      </w:r>
    </w:p>
    <w:tbl>
      <w:tblPr>
        <w:tblStyle w:val="7"/>
        <w:tblW w:w="15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527"/>
        <w:gridCol w:w="840"/>
        <w:gridCol w:w="9804"/>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828"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527"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指标项</w:t>
            </w:r>
          </w:p>
        </w:tc>
        <w:tc>
          <w:tcPr>
            <w:tcW w:w="840"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重要性</w:t>
            </w:r>
          </w:p>
        </w:tc>
        <w:tc>
          <w:tcPr>
            <w:tcW w:w="9804"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1"/>
                <w:szCs w:val="21"/>
              </w:rPr>
            </w:pPr>
            <w:r>
              <w:rPr>
                <w:rFonts w:hint="eastAsia" w:ascii="宋体" w:hAnsi="宋体" w:eastAsia="宋体" w:cs="宋体"/>
                <w:b/>
                <w:bCs/>
                <w:spacing w:val="-2"/>
                <w:sz w:val="21"/>
                <w:szCs w:val="21"/>
              </w:rPr>
              <w:t>指标要求</w:t>
            </w:r>
          </w:p>
        </w:tc>
        <w:tc>
          <w:tcPr>
            <w:tcW w:w="2330" w:type="dxa"/>
            <w:shd w:val="clear" w:color="auto" w:fill="auto"/>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1"/>
                <w:szCs w:val="21"/>
              </w:rPr>
            </w:pPr>
            <w:r>
              <w:rPr>
                <w:rFonts w:hint="eastAsia" w:ascii="宋体" w:hAnsi="宋体" w:eastAsia="宋体" w:cs="宋体"/>
                <w:b/>
                <w:bCs/>
                <w:spacing w:val="-1"/>
                <w:sz w:val="21"/>
                <w:szCs w:val="21"/>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828" w:type="dxa"/>
            <w:vAlign w:val="center"/>
          </w:tcPr>
          <w:p>
            <w:pPr>
              <w:bidi w:val="0"/>
              <w:spacing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1527" w:type="dxa"/>
            <w:vAlign w:val="center"/>
          </w:tcPr>
          <w:p>
            <w:pPr>
              <w:pStyle w:val="6"/>
              <w:spacing w:before="89" w:line="240" w:lineRule="auto"/>
              <w:ind w:left="29"/>
              <w:jc w:val="center"/>
              <w:rPr>
                <w:rFonts w:hint="eastAsia" w:ascii="宋体" w:hAnsi="宋体" w:eastAsia="宋体" w:cs="宋体"/>
                <w:sz w:val="21"/>
                <w:szCs w:val="21"/>
                <w:lang w:val="en-US" w:eastAsia="zh-CN"/>
              </w:rPr>
            </w:pPr>
            <w:r>
              <w:rPr>
                <w:rFonts w:hint="eastAsia" w:ascii="宋体" w:hAnsi="宋体" w:eastAsia="宋体" w:cs="宋体"/>
                <w:spacing w:val="1"/>
                <w:sz w:val="21"/>
                <w:szCs w:val="21"/>
                <w:lang w:val="en-US" w:eastAsia="zh-CN"/>
              </w:rPr>
              <w:t>基本要求</w:t>
            </w:r>
          </w:p>
        </w:tc>
        <w:tc>
          <w:tcPr>
            <w:tcW w:w="840" w:type="dxa"/>
            <w:vAlign w:val="center"/>
          </w:tcPr>
          <w:p>
            <w:pPr>
              <w:spacing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投标产品</w:t>
            </w:r>
            <w:r>
              <w:rPr>
                <w:rFonts w:hint="eastAsia" w:ascii="宋体" w:hAnsi="宋体" w:eastAsia="宋体" w:cs="宋体"/>
                <w:spacing w:val="-3"/>
                <w:sz w:val="21"/>
                <w:szCs w:val="21"/>
                <w:lang w:val="en-US" w:eastAsia="zh-CN"/>
              </w:rPr>
              <w:t>为</w:t>
            </w:r>
            <w:r>
              <w:rPr>
                <w:rFonts w:hint="eastAsia" w:ascii="宋体" w:hAnsi="宋体" w:eastAsia="宋体" w:cs="宋体"/>
                <w:spacing w:val="-3"/>
                <w:sz w:val="21"/>
                <w:szCs w:val="21"/>
              </w:rPr>
              <w:t>地震监测专业设备定型的设备；屏幕≥</w:t>
            </w:r>
            <w:r>
              <w:rPr>
                <w:rFonts w:hint="eastAsia" w:cs="宋体"/>
                <w:spacing w:val="-3"/>
                <w:sz w:val="21"/>
                <w:szCs w:val="21"/>
                <w:lang w:val="en-US" w:eastAsia="zh-CN"/>
              </w:rPr>
              <w:t>43</w:t>
            </w:r>
            <w:r>
              <w:rPr>
                <w:rFonts w:hint="eastAsia" w:ascii="宋体" w:hAnsi="宋体" w:eastAsia="宋体" w:cs="宋体"/>
                <w:spacing w:val="-3"/>
                <w:sz w:val="21"/>
                <w:szCs w:val="21"/>
              </w:rPr>
              <w:t>英寸，LED背光，</w:t>
            </w:r>
            <w:r>
              <w:rPr>
                <w:rFonts w:hint="eastAsia" w:ascii="宋体" w:hAnsi="宋体" w:eastAsia="宋体" w:cs="宋体"/>
                <w:spacing w:val="-2"/>
                <w:sz w:val="21"/>
                <w:szCs w:val="21"/>
              </w:rPr>
              <w:t>具备多点触摸功能</w:t>
            </w:r>
            <w:r>
              <w:rPr>
                <w:rFonts w:hint="eastAsia" w:ascii="宋体" w:hAnsi="宋体" w:eastAsia="宋体" w:cs="宋体"/>
                <w:spacing w:val="-3"/>
                <w:sz w:val="21"/>
                <w:szCs w:val="21"/>
                <w:lang w:val="en-US" w:eastAsia="zh-CN"/>
              </w:rPr>
              <w:t>，</w:t>
            </w:r>
            <w:r>
              <w:rPr>
                <w:rFonts w:hint="eastAsia" w:ascii="宋体" w:hAnsi="宋体" w:eastAsia="宋体" w:cs="宋体"/>
                <w:spacing w:val="-3"/>
                <w:sz w:val="21"/>
                <w:szCs w:val="21"/>
              </w:rPr>
              <w:t>亮度≥4</w:t>
            </w:r>
            <w:r>
              <w:rPr>
                <w:rFonts w:hint="eastAsia" w:ascii="宋体" w:hAnsi="宋体" w:eastAsia="宋体" w:cs="宋体"/>
                <w:spacing w:val="-3"/>
                <w:sz w:val="21"/>
                <w:szCs w:val="21"/>
                <w:lang w:val="en-US" w:eastAsia="zh-CN"/>
              </w:rPr>
              <w:t>5</w:t>
            </w:r>
            <w:r>
              <w:rPr>
                <w:rFonts w:hint="eastAsia" w:ascii="宋体" w:hAnsi="宋体" w:eastAsia="宋体" w:cs="宋体"/>
                <w:spacing w:val="-3"/>
                <w:sz w:val="21"/>
                <w:szCs w:val="21"/>
              </w:rPr>
              <w:t>0cd/m</w:t>
            </w:r>
            <w:r>
              <w:rPr>
                <w:rFonts w:hint="eastAsia" w:ascii="宋体" w:hAnsi="宋体" w:eastAsia="宋体" w:cs="宋体"/>
                <w:spacing w:val="-3"/>
                <w:sz w:val="21"/>
                <w:szCs w:val="21"/>
                <w:vertAlign w:val="superscript"/>
              </w:rPr>
              <w:t>2</w:t>
            </w:r>
            <w:r>
              <w:rPr>
                <w:rFonts w:hint="eastAsia" w:ascii="宋体" w:hAnsi="宋体" w:eastAsia="宋体" w:cs="宋体"/>
                <w:spacing w:val="-3"/>
                <w:sz w:val="21"/>
                <w:szCs w:val="21"/>
              </w:rPr>
              <w:t>；显示屏幕比例16：9（屏幕立式显</w:t>
            </w:r>
            <w:r>
              <w:rPr>
                <w:rFonts w:hint="eastAsia" w:ascii="宋体" w:hAnsi="宋体" w:eastAsia="宋体" w:cs="宋体"/>
                <w:spacing w:val="-5"/>
                <w:sz w:val="21"/>
                <w:szCs w:val="21"/>
              </w:rPr>
              <w:t>示</w:t>
            </w:r>
            <w:r>
              <w:rPr>
                <w:rFonts w:hint="eastAsia" w:ascii="宋体" w:hAnsi="宋体" w:eastAsia="宋体" w:cs="宋体"/>
                <w:spacing w:val="-26"/>
                <w:sz w:val="21"/>
                <w:szCs w:val="21"/>
              </w:rPr>
              <w:t>），</w:t>
            </w:r>
            <w:r>
              <w:rPr>
                <w:rFonts w:hint="eastAsia" w:ascii="宋体" w:hAnsi="宋体" w:eastAsia="宋体" w:cs="宋体"/>
                <w:spacing w:val="-5"/>
                <w:sz w:val="21"/>
                <w:szCs w:val="21"/>
              </w:rPr>
              <w:t>分辨率≥1920*1080像素；</w:t>
            </w:r>
            <w:r>
              <w:rPr>
                <w:rFonts w:hint="eastAsia" w:ascii="宋体" w:hAnsi="宋体" w:eastAsia="宋体" w:cs="宋体"/>
                <w:spacing w:val="-2"/>
                <w:sz w:val="21"/>
                <w:szCs w:val="21"/>
              </w:rPr>
              <w:t>提供电信/移动/联通4G物联网卡一</w:t>
            </w:r>
            <w:r>
              <w:rPr>
                <w:rFonts w:hint="eastAsia" w:ascii="宋体" w:hAnsi="宋体" w:eastAsia="宋体" w:cs="宋体"/>
                <w:spacing w:val="-1"/>
                <w:sz w:val="21"/>
                <w:szCs w:val="21"/>
              </w:rPr>
              <w:t>张，</w:t>
            </w:r>
            <w:r>
              <w:rPr>
                <w:rFonts w:hint="eastAsia" w:ascii="宋体" w:hAnsi="宋体" w:eastAsia="宋体" w:cs="宋体"/>
                <w:spacing w:val="-5"/>
                <w:sz w:val="21"/>
                <w:szCs w:val="21"/>
              </w:rPr>
              <w:t>提供不少于</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年的质保服务（含设备通信费）</w:t>
            </w:r>
            <w:r>
              <w:rPr>
                <w:rFonts w:hint="eastAsia" w:ascii="宋体" w:hAnsi="宋体" w:eastAsia="宋体" w:cs="宋体"/>
                <w:spacing w:val="-1"/>
                <w:sz w:val="21"/>
                <w:szCs w:val="21"/>
              </w:rPr>
              <w:t>。</w:t>
            </w:r>
          </w:p>
        </w:tc>
        <w:tc>
          <w:tcPr>
            <w:tcW w:w="2330" w:type="dxa"/>
            <w:vAlign w:val="center"/>
          </w:tcPr>
          <w:p>
            <w:pPr>
              <w:spacing w:line="240" w:lineRule="auto"/>
              <w:jc w:val="both"/>
              <w:rPr>
                <w:rFonts w:hint="eastAsia" w:ascii="宋体" w:hAnsi="宋体" w:eastAsia="宋体" w:cs="宋体"/>
                <w:sz w:val="21"/>
                <w:szCs w:val="21"/>
              </w:rPr>
            </w:pPr>
            <w:r>
              <w:rPr>
                <w:rFonts w:hint="eastAsia" w:ascii="宋体" w:hAnsi="宋体" w:eastAsia="宋体" w:cs="宋体"/>
                <w:spacing w:val="-7"/>
                <w:sz w:val="21"/>
                <w:szCs w:val="21"/>
              </w:rPr>
              <w:t>是</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提供相关证明材料，并盖投标人</w:t>
            </w:r>
            <w:r>
              <w:rPr>
                <w:rFonts w:hint="eastAsia" w:ascii="宋体" w:hAnsi="宋体" w:eastAsia="宋体" w:cs="宋体"/>
                <w:spacing w:val="-4"/>
                <w:sz w:val="21"/>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1527" w:type="dxa"/>
            <w:vAlign w:val="center"/>
          </w:tcPr>
          <w:p>
            <w:pPr>
              <w:pStyle w:val="6"/>
              <w:spacing w:before="88"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预警服务</w:t>
            </w:r>
          </w:p>
        </w:tc>
        <w:tc>
          <w:tcPr>
            <w:tcW w:w="840" w:type="dxa"/>
            <w:vAlign w:val="center"/>
          </w:tcPr>
          <w:p>
            <w:pPr>
              <w:pStyle w:val="6"/>
              <w:spacing w:before="68"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pacing w:val="-3"/>
                <w:sz w:val="21"/>
                <w:szCs w:val="21"/>
              </w:rPr>
            </w:pPr>
            <w:r>
              <w:rPr>
                <w:rFonts w:hint="eastAsia" w:ascii="宋体" w:hAnsi="宋体" w:eastAsia="宋体" w:cs="宋体"/>
                <w:spacing w:val="-3"/>
                <w:sz w:val="21"/>
                <w:szCs w:val="21"/>
              </w:rPr>
              <w:t>遵循《中国地震预警网地震预警信息发布指南》和《国家地震烈度速报与预警工程项目紧急地震信息服务终端相关技术要求》，对紧急信息服务平台的各类信息进行解析和处置；具备计算本地烈度和预警等级功能，可根据预警信息估算本地烈度和预警等级。</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当终端设备处于预警响应状态下时，预警相关服务优先级最高，预警服务所占用屏显、声音、通讯等资源不得被其他应用占用；当终端设备同时收到多个预警信息时，优先响应预警等级高的预警事件；预警显示模式包括但不限于显示最大、显示首报、即时显示、显示终报模式；支持预警取消，并具备相应响应机制；具备预警事件回放功能。</w:t>
            </w:r>
          </w:p>
        </w:tc>
        <w:tc>
          <w:tcPr>
            <w:tcW w:w="23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1"/>
                <w:szCs w:val="21"/>
              </w:rPr>
            </w:pPr>
            <w:r>
              <w:rPr>
                <w:rFonts w:hint="eastAsia" w:ascii="宋体" w:hAnsi="宋体" w:eastAsia="宋体" w:cs="宋体"/>
                <w:snapToGrid w:val="0"/>
                <w:color w:val="000000"/>
                <w:spacing w:val="-7"/>
                <w:kern w:val="0"/>
                <w:sz w:val="21"/>
                <w:szCs w:val="21"/>
                <w:lang w:val="en-US" w:eastAsia="en-US" w:bidi="ar-SA"/>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828" w:type="dxa"/>
            <w:vAlign w:val="center"/>
          </w:tcPr>
          <w:p>
            <w:pPr>
              <w:bidi w:val="0"/>
              <w:spacing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3</w:t>
            </w:r>
          </w:p>
        </w:tc>
        <w:tc>
          <w:tcPr>
            <w:tcW w:w="1527" w:type="dxa"/>
            <w:vAlign w:val="center"/>
          </w:tcPr>
          <w:p>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广播功能</w:t>
            </w:r>
          </w:p>
        </w:tc>
        <w:tc>
          <w:tcPr>
            <w:tcW w:w="840" w:type="dxa"/>
            <w:vAlign w:val="center"/>
          </w:tcPr>
          <w:p>
            <w:pPr>
              <w:bidi w:val="0"/>
              <w:spacing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rPr>
              <w:t>☆</w:t>
            </w:r>
          </w:p>
        </w:tc>
        <w:tc>
          <w:tcPr>
            <w:tcW w:w="9804" w:type="dxa"/>
            <w:vAlign w:val="center"/>
          </w:tcPr>
          <w:p>
            <w:pPr>
              <w:bidi w:val="0"/>
              <w:spacing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内置功放模块；有效预警声音信号传送距离≥150米；平均无故障工作时间≥18000小时。</w:t>
            </w:r>
          </w:p>
        </w:tc>
        <w:tc>
          <w:tcPr>
            <w:tcW w:w="2330" w:type="dxa"/>
            <w:vAlign w:val="center"/>
          </w:tcPr>
          <w:p>
            <w:pPr>
              <w:bidi w:val="0"/>
              <w:spacing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rPr>
              <w:t>4</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rPr>
              <w:t>操作系统</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终端系统为Android、Linux和Unix操作系统；支持远程系统升级服务；支持APP白名单访问设置；支持禁用系统</w:t>
            </w:r>
            <w:r>
              <w:rPr>
                <w:rFonts w:hint="eastAsia" w:ascii="宋体" w:hAnsi="宋体" w:eastAsia="宋体" w:cs="宋体"/>
                <w:sz w:val="21"/>
                <w:szCs w:val="21"/>
                <w:lang w:eastAsia="zh-CN"/>
              </w:rPr>
              <w:t>（</w:t>
            </w:r>
            <w:r>
              <w:rPr>
                <w:rFonts w:hint="eastAsia" w:ascii="宋体" w:hAnsi="宋体" w:eastAsia="宋体" w:cs="宋体"/>
                <w:sz w:val="21"/>
                <w:szCs w:val="21"/>
              </w:rPr>
              <w:t>弱</w:t>
            </w:r>
            <w:r>
              <w:rPr>
                <w:rFonts w:hint="eastAsia" w:ascii="宋体" w:hAnsi="宋体" w:eastAsia="宋体" w:cs="宋体"/>
                <w:sz w:val="21"/>
                <w:szCs w:val="21"/>
                <w:lang w:eastAsia="zh-CN"/>
              </w:rPr>
              <w:t>）</w:t>
            </w:r>
            <w:r>
              <w:rPr>
                <w:rFonts w:hint="eastAsia" w:ascii="宋体" w:hAnsi="宋体" w:eastAsia="宋体" w:cs="宋体"/>
                <w:sz w:val="21"/>
                <w:szCs w:val="21"/>
              </w:rPr>
              <w:t>端口；具备USB存储设备，可限制USB接入；具备I/O接口管控功能；终端支持TTS，系统提供TTS功能。</w:t>
            </w:r>
          </w:p>
        </w:tc>
        <w:tc>
          <w:tcPr>
            <w:tcW w:w="23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rPr>
              <w:t>是</w:t>
            </w:r>
            <w:r>
              <w:rPr>
                <w:rFonts w:hint="eastAsia" w:ascii="宋体" w:hAnsi="宋体" w:eastAsia="宋体" w:cs="宋体"/>
                <w:sz w:val="21"/>
                <w:szCs w:val="21"/>
                <w:lang w:eastAsia="zh-CN"/>
              </w:rPr>
              <w:t>。</w:t>
            </w:r>
            <w:r>
              <w:rPr>
                <w:rFonts w:hint="eastAsia" w:ascii="宋体" w:hAnsi="宋体" w:eastAsia="宋体" w:cs="宋体"/>
                <w:sz w:val="21"/>
                <w:szCs w:val="21"/>
              </w:rPr>
              <w:t>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828" w:type="dxa"/>
            <w:vAlign w:val="center"/>
          </w:tcPr>
          <w:p>
            <w:pPr>
              <w:bidi w:val="0"/>
              <w:spacing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5</w:t>
            </w:r>
          </w:p>
        </w:tc>
        <w:tc>
          <w:tcPr>
            <w:tcW w:w="1527" w:type="dxa"/>
            <w:vAlign w:val="center"/>
          </w:tcPr>
          <w:p>
            <w:pPr>
              <w:bidi w:val="0"/>
              <w:spacing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通信及接口</w:t>
            </w:r>
          </w:p>
        </w:tc>
        <w:tc>
          <w:tcPr>
            <w:tcW w:w="840" w:type="dxa"/>
            <w:vAlign w:val="center"/>
          </w:tcPr>
          <w:p>
            <w:pPr>
              <w:bidi w:val="0"/>
              <w:spacing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bidi w:val="0"/>
              <w:spacing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支持RJ45有线网络、WIFI以及4G接入；支持音频输出；支持HDMI输出；支持有线、无线预警联动输出接口。</w:t>
            </w:r>
          </w:p>
        </w:tc>
        <w:tc>
          <w:tcPr>
            <w:tcW w:w="2330" w:type="dxa"/>
            <w:vAlign w:val="center"/>
          </w:tcPr>
          <w:p>
            <w:pPr>
              <w:bidi w:val="0"/>
              <w:spacing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6</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时间服务</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系统时钟守时钟差±2 秒/年（内部时钟可以通过 4G信号进行校准）；支持 NTP 授时， 采用 NTP 授时，终端钟差优于 1/10 秒。</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是，提供第三方专业测试机构（CMA和CNAS资质）正式检测报告，并盖投标人公章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28" w:type="dxa"/>
            <w:vAlign w:val="center"/>
          </w:tcPr>
          <w:p>
            <w:pPr>
              <w:bidi w:val="0"/>
              <w:spacing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7</w:t>
            </w:r>
          </w:p>
        </w:tc>
        <w:tc>
          <w:tcPr>
            <w:tcW w:w="1527" w:type="dxa"/>
            <w:vAlign w:val="center"/>
          </w:tcPr>
          <w:p>
            <w:pPr>
              <w:bidi w:val="0"/>
              <w:spacing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节能要求</w:t>
            </w:r>
          </w:p>
        </w:tc>
        <w:tc>
          <w:tcPr>
            <w:tcW w:w="840" w:type="dxa"/>
            <w:vAlign w:val="center"/>
          </w:tcPr>
          <w:p>
            <w:pPr>
              <w:bidi w:val="0"/>
              <w:spacing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bidi w:val="0"/>
              <w:spacing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支持节能环保手动息屏， 提供手动息屏/亮屏按钮。</w:t>
            </w:r>
          </w:p>
        </w:tc>
        <w:tc>
          <w:tcPr>
            <w:tcW w:w="2330" w:type="dxa"/>
            <w:vAlign w:val="center"/>
          </w:tcPr>
          <w:p>
            <w:pPr>
              <w:bidi w:val="0"/>
              <w:spacing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8</w:t>
            </w:r>
          </w:p>
        </w:tc>
        <w:tc>
          <w:tcPr>
            <w:tcW w:w="1527" w:type="dxa"/>
            <w:vAlign w:val="center"/>
          </w:tcPr>
          <w:p>
            <w:pPr>
              <w:pStyle w:val="6"/>
              <w:spacing w:before="68"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显示控制要求</w:t>
            </w:r>
          </w:p>
          <w:p>
            <w:pPr>
              <w:pStyle w:val="6"/>
              <w:spacing w:before="68" w:line="240" w:lineRule="auto"/>
              <w:jc w:val="center"/>
              <w:rPr>
                <w:rFonts w:hint="eastAsia" w:ascii="宋体" w:hAnsi="宋体" w:eastAsia="宋体" w:cs="宋体"/>
                <w:sz w:val="21"/>
                <w:szCs w:val="21"/>
                <w:lang w:val="en-US" w:eastAsia="zh-CN"/>
              </w:rPr>
            </w:pP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提供分区显示功能，分区显示内容可定制；状态可显示信息包括当前时间（日历）、连接状态（预警服务器）、气象信息、实时波形信息、最新地震消息（滚动显示）和科普宣传信息；预警响应状态显示信息包括预警信息、烈度速报信息、速报信息；终端收到预警信息后，显示自动切换至预警响应状态，此工作状态下，屏幕显示资源不得被其他应用占用，地震预警信息触发后4小时（可配置）可切换至日常运行状态；显示屏具备三种工作模式：息屏、节能显示、高亮显示（预警时显示），具备节能环保手动息屏，提供手动息屏/亮屏按钮。当终端设备在预警响应状态下，显示屏处于高亮显示模式；当终端设备在日常工作状态下，且没有用户信息交互操作时，显示屏处于节能模式；当终端设备在日常工作状态下，且供电系统为内部电源供电，显示屏处于息屏模式。</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9</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声音报警器</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预警响应后，最后10秒采用倒计时语音播报；声音报警器根据预警发布规则配置做出响应，播放相应的音频。</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10</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灯光报警器</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具备红、橙、黄、蓝四种颜色；具备闪烁（爆闪）功能；可根据预警发布规则配置进行灯光告警。</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11</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烈度计功能</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内置烈度计功能，动态范围≥80dB；支持以MiniSEED数据格式存储；</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支持外接高性能，动态范围≥100dB， 线性度误差≤0.1%，加速度测量误差 ≤1.25%；</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支持实时波形信息显示。</w:t>
            </w:r>
          </w:p>
        </w:tc>
        <w:tc>
          <w:tcPr>
            <w:tcW w:w="2330"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是，提供第三方检测机构（具有CNAS和 CMA资质）报告，并盖投标人公章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12</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视频采集</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内置视频采集功能，视频采集时收录声音；具备视频文件循环保存功能；</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当终端响应预警信息时，或震动传感器达到阈值后，自动截取录制事件的视频并保存、具备上传到指定FTP服务器（可关停功能，可配置ftp信息）；视频分辨率≥720P。</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13</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数据传输</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具备数据通讯和视频、日志文件的上传至指定FTP服务器（可关停功能，可配置 ftp 信息）。</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14</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日志服务</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日志需连续记录，包括但不限于系统状态、系统自检、连接、操作、各类信息获取和确认、处理、显示、异常处理，且本地保存不少于30天；地震预警信息日志，包括但不限于报文接收信息、报文内容、报文回复、预警响应以及反馈信息等，本地保存 且不少于 3 个月；支持日志分类、分级保存；具备定时（可配置） 上传日志文件到 日志服务器（日志服务器信息可配置）。</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15</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监控管理服务</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具备APP或Web远程管理，可查看终端设备状态、配置和管理相关参数， 进行系统升级、重置、重启及预警相关应用升级和服务重启；提供终端远程运维监控系统，实时监控所有终端运行状态。</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16</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注册服务</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支持终端注册、申请证书、下载证书、变更注册信息、授权申请、连接发布服务器，获取发布服务器信息，实现与防篡改系统集成。</w:t>
            </w:r>
          </w:p>
        </w:tc>
        <w:tc>
          <w:tcPr>
            <w:tcW w:w="2330" w:type="dxa"/>
            <w:vAlign w:val="center"/>
          </w:tcPr>
          <w:p>
            <w:pPr>
              <w:pStyle w:val="6"/>
              <w:spacing w:before="68"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17</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地震速报服务</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支持订阅地震速报发布服务，根据最新的地震速报信息进行地震速报服务。</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18</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预警演练服务</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屏幕显示主题为“预警演练主题”，显示信息必须包括醒目的“演练”标题信息；</w:t>
            </w:r>
          </w:p>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声音报警响应为“预警系统演练”；进入预警演练模式后，所有反馈信息发送到预警演练服务器。</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3"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19</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数据安全机制</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支持《信息技术安全技术实体鉴别第3部分：采用数字签名技术的机制》（GB/T 15843.3-2016）技术标准；支持符合PKCS#10格式（简称：P10）要求的证书签发请求；支持与宁夏紧急地震信息发布系统和防篡改系统集成，符合《GB/T 32918.2-2016信息安全技术SM2椭圆曲线公钥密码算法第2部分》规定算法对消息体进行签名。</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 CNAS 和 CMA 资质）报告，并盖投标人公章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20</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系统设置</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终端设备重启以后，保证系统内所有配置与重启之前一致；如果终端设备非法关闭，重启后的系统应是最近一次正常运行配置；当终端设备网络通讯异常时，通过还原网络配置将所有网络配置网络部分恢复到出厂设置，网络配置有线网络、 WIFI和4G配置；支持删除内部存储空间中的系统及应用数据所有数据；支持定时备份系统，有系统配置备份和全备份两种备份方式，备份文件存放位置可以自定义（内部存储和外部存储）；支持查看视频采集、震动数据采集、日志管理等应用服务存储占用情况，清理系统垃圾文件。</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21</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系统自检</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终端设备可定时或手动进行自检，自检内容包括但不限于系统状态、网络状态、服务连接状态、视频采集状态；</w:t>
            </w:r>
          </w:p>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自检报告自动保存，支持远程查看；具备电源状态指示灯；系统根据自检结果标示系统当前健康状态，状态显示方式：1.智能显示：直接显示故障信息。2.严重故障：①红色状态指示，影响地震预警服务的相关故障，如网络异常、时钟问题；②一般故障，橙色状态指示，不影响地震预警服务的故障；③正常，绿色状态指示，无故障。支持以上两种状态显示方式。</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22</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电池</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终端配备内置断电应急备用电池。终端外接电源供电异常时，电池支持终端持续待机工作（屏幕处于息屏状态以节省电池开销，支持接收处理预警信息，并触发声音警报及灯光报警），电池启用后自动上传日志，并发送短信或邮件通知到关联人员进行维护。</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23</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存储空间≥64G，支持存储空间扩展。当存储可用空间低于20%时，系统自动清除早期文件。</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是，提供相关证明材料，并盖投标人公章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24</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扩展功能</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支持与多台声音报警器进行无线组网，声音报警器同步终端的预警播报，支持实时监测声音报警器的状态。</w:t>
            </w:r>
          </w:p>
        </w:tc>
        <w:tc>
          <w:tcPr>
            <w:tcW w:w="2330"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25</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工作环境</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温度在-10℃~50℃,空气相对湿度值不大于 90%RH，无凝露。</w:t>
            </w:r>
          </w:p>
        </w:tc>
        <w:tc>
          <w:tcPr>
            <w:tcW w:w="2330" w:type="dxa"/>
            <w:vMerge w:val="restart"/>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是，提供第三方检测机构（具有 CNAS 或 CMA 资质）报告，并盖投标人公章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26</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运行可靠性</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在正常环境和供电条件下可连续稳定工作，连续工作≥18000小时。</w:t>
            </w:r>
          </w:p>
        </w:tc>
        <w:tc>
          <w:tcPr>
            <w:tcW w:w="2330" w:type="dxa"/>
            <w:vMerge w:val="continue"/>
            <w:vAlign w:val="top"/>
          </w:tcPr>
          <w:p>
            <w:pPr>
              <w:pStyle w:val="6"/>
              <w:spacing w:before="68" w:line="240" w:lineRule="auto"/>
              <w:rPr>
                <w:rFonts w:hint="eastAsia" w:ascii="宋体" w:hAnsi="宋体" w:eastAsia="宋体" w:cs="宋体"/>
                <w:sz w:val="21"/>
                <w:szCs w:val="21"/>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828" w:type="dxa"/>
            <w:vAlign w:val="center"/>
          </w:tcPr>
          <w:p>
            <w:pPr>
              <w:pStyle w:val="6"/>
              <w:spacing w:before="68" w:line="240" w:lineRule="auto"/>
              <w:jc w:val="center"/>
              <w:rPr>
                <w:rFonts w:hint="eastAsia" w:ascii="宋体" w:hAnsi="宋体" w:eastAsia="宋体" w:cs="宋体"/>
                <w:b/>
                <w:bCs/>
                <w:sz w:val="21"/>
                <w:szCs w:val="21"/>
                <w:lang w:val="en-US" w:eastAsia="en-US"/>
              </w:rPr>
            </w:pPr>
            <w:r>
              <w:rPr>
                <w:rFonts w:hint="eastAsia" w:ascii="宋体" w:hAnsi="宋体" w:eastAsia="宋体" w:cs="宋体"/>
                <w:b/>
                <w:bCs/>
                <w:sz w:val="21"/>
                <w:szCs w:val="21"/>
                <w:lang w:val="en-US" w:eastAsia="zh-CN"/>
              </w:rPr>
              <w:t>27</w:t>
            </w:r>
          </w:p>
        </w:tc>
        <w:tc>
          <w:tcPr>
            <w:tcW w:w="1527"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人体感应功能</w:t>
            </w:r>
          </w:p>
        </w:tc>
        <w:tc>
          <w:tcPr>
            <w:tcW w:w="840" w:type="dxa"/>
            <w:vAlign w:val="center"/>
          </w:tcPr>
          <w:p>
            <w:pPr>
              <w:pStyle w:val="6"/>
              <w:spacing w:before="68" w:line="240" w:lineRule="auto"/>
              <w:jc w:val="center"/>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w:t>
            </w:r>
          </w:p>
        </w:tc>
        <w:tc>
          <w:tcPr>
            <w:tcW w:w="9804" w:type="dxa"/>
            <w:vAlign w:val="center"/>
          </w:tcPr>
          <w:p>
            <w:pPr>
              <w:pStyle w:val="6"/>
              <w:spacing w:before="68" w:line="240" w:lineRule="auto"/>
              <w:jc w:val="both"/>
              <w:rPr>
                <w:rFonts w:hint="eastAsia" w:ascii="宋体" w:hAnsi="宋体" w:eastAsia="宋体" w:cs="宋体"/>
                <w:sz w:val="21"/>
                <w:szCs w:val="21"/>
                <w:lang w:val="en-US" w:eastAsia="en-US"/>
              </w:rPr>
            </w:pPr>
            <w:r>
              <w:rPr>
                <w:rFonts w:hint="eastAsia" w:ascii="宋体" w:hAnsi="宋体" w:eastAsia="宋体" w:cs="宋体"/>
                <w:sz w:val="21"/>
                <w:szCs w:val="21"/>
                <w:lang w:val="en-US" w:eastAsia="zh-CN"/>
              </w:rPr>
              <w:t>具备人体感应功能，可控制屏幕亮屏或息屏。</w:t>
            </w:r>
          </w:p>
        </w:tc>
        <w:tc>
          <w:tcPr>
            <w:tcW w:w="2330" w:type="dxa"/>
            <w:vMerge w:val="continue"/>
            <w:vAlign w:val="top"/>
          </w:tcPr>
          <w:p>
            <w:pPr>
              <w:pStyle w:val="6"/>
              <w:spacing w:before="68" w:line="240" w:lineRule="auto"/>
              <w:rPr>
                <w:rFonts w:hint="eastAsia" w:ascii="宋体" w:hAnsi="宋体" w:eastAsia="宋体" w:cs="宋体"/>
                <w:sz w:val="21"/>
                <w:szCs w:val="21"/>
                <w:lang w:val="en-US" w:eastAsia="en-US"/>
              </w:rPr>
            </w:pPr>
          </w:p>
        </w:tc>
      </w:tr>
    </w:tbl>
    <w:p>
      <w:pPr>
        <w:spacing w:line="240" w:lineRule="auto"/>
        <w:rPr>
          <w:rFonts w:hint="eastAsia" w:ascii="宋体" w:hAnsi="宋体" w:eastAsia="宋体" w:cs="宋体"/>
          <w:sz w:val="21"/>
        </w:rPr>
      </w:pPr>
    </w:p>
    <w:p>
      <w:pPr>
        <w:spacing w:line="240" w:lineRule="auto"/>
        <w:rPr>
          <w:rFonts w:hint="eastAsia" w:ascii="宋体" w:hAnsi="宋体" w:eastAsia="宋体" w:cs="宋体"/>
        </w:rPr>
      </w:pPr>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01034B33"/>
    <w:rsid w:val="01034B33"/>
    <w:rsid w:val="05654685"/>
    <w:rsid w:val="06B021A1"/>
    <w:rsid w:val="09557AA0"/>
    <w:rsid w:val="0B1E0A00"/>
    <w:rsid w:val="107444AC"/>
    <w:rsid w:val="15572ED7"/>
    <w:rsid w:val="1B527002"/>
    <w:rsid w:val="1C47468D"/>
    <w:rsid w:val="1EB214A0"/>
    <w:rsid w:val="215C236D"/>
    <w:rsid w:val="24233E34"/>
    <w:rsid w:val="28B76C2A"/>
    <w:rsid w:val="2B4B77DF"/>
    <w:rsid w:val="2C097319"/>
    <w:rsid w:val="2EC672CB"/>
    <w:rsid w:val="315C42DF"/>
    <w:rsid w:val="37932CDD"/>
    <w:rsid w:val="3B124CB0"/>
    <w:rsid w:val="3DD93BAE"/>
    <w:rsid w:val="3E3A18CA"/>
    <w:rsid w:val="42EC2E22"/>
    <w:rsid w:val="431C5C9A"/>
    <w:rsid w:val="47413589"/>
    <w:rsid w:val="48A12EEA"/>
    <w:rsid w:val="4A4C63A0"/>
    <w:rsid w:val="4AEC1DD8"/>
    <w:rsid w:val="4F2A2D3C"/>
    <w:rsid w:val="4FA1287D"/>
    <w:rsid w:val="525717B4"/>
    <w:rsid w:val="58584F50"/>
    <w:rsid w:val="5A8D6939"/>
    <w:rsid w:val="63E44B0D"/>
    <w:rsid w:val="68AF296B"/>
    <w:rsid w:val="6CDA59FA"/>
    <w:rsid w:val="6FC16AE2"/>
    <w:rsid w:val="70EE4DF8"/>
    <w:rsid w:val="71C56E45"/>
    <w:rsid w:val="73964869"/>
    <w:rsid w:val="74B310ED"/>
    <w:rsid w:val="75091CE1"/>
    <w:rsid w:val="76FB7C70"/>
    <w:rsid w:val="779376FF"/>
    <w:rsid w:val="78FD327E"/>
    <w:rsid w:val="79A17F33"/>
    <w:rsid w:val="7CC463D4"/>
    <w:rsid w:val="7D673A49"/>
    <w:rsid w:val="7EB22415"/>
    <w:rsid w:val="7ED466EC"/>
    <w:rsid w:val="7F343772"/>
    <w:rsid w:val="7FB67FF4"/>
    <w:rsid w:val="7FE6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Text"/>
    <w:basedOn w:val="1"/>
    <w:autoRedefine/>
    <w:semiHidden/>
    <w:qFormat/>
    <w:uiPriority w:val="0"/>
    <w:rPr>
      <w:rFonts w:ascii="宋体" w:hAnsi="宋体" w:eastAsia="宋体" w:cs="宋体"/>
      <w:sz w:val="21"/>
      <w:szCs w:val="21"/>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2024-04-26T03:16:00Z</dcterms:created>
  <dc:creator>画</dc:creator>
  <cp:lastModifiedBy>77</cp:lastModifiedBy>
  <dcterms:modified xsi:type="dcterms:W3CDTF">2024-06-06T01:10:16Z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080ED1B60D9A4E50A41EE1AEB22E9034_11</vt:lpwstr>
  </property>
</Properties>
</file>